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321A" w:rsidRDefault="00B52401">
      <w:pPr>
        <w:adjustRightInd w:val="0"/>
        <w:snapToGrid w:val="0"/>
        <w:spacing w:line="336" w:lineRule="auto"/>
        <w:jc w:val="left"/>
        <w:rPr>
          <w:rFonts w:ascii="黑体" w:eastAsia="黑体" w:hAnsi="宋体" w:cs="黑体"/>
          <w:bCs/>
          <w:color w:val="000000"/>
          <w:szCs w:val="32"/>
        </w:rPr>
      </w:pPr>
      <w:r>
        <w:rPr>
          <w:rFonts w:ascii="黑体" w:eastAsia="黑体" w:hAnsi="宋体" w:cs="黑体" w:hint="eastAsia"/>
          <w:bCs/>
          <w:color w:val="000000"/>
          <w:szCs w:val="32"/>
        </w:rPr>
        <w:t>附件</w:t>
      </w:r>
    </w:p>
    <w:p w:rsidR="0050321A" w:rsidRDefault="00B52401">
      <w:pPr>
        <w:adjustRightInd w:val="0"/>
        <w:snapToGrid w:val="0"/>
        <w:spacing w:line="240" w:lineRule="auto"/>
        <w:jc w:val="center"/>
        <w:rPr>
          <w:rFonts w:ascii="方正书宋_GBK" w:eastAsia="方正书宋_GBK" w:hAnsi="方正书宋_GBK" w:cs="方正书宋_GBK"/>
          <w:kern w:val="0"/>
          <w:sz w:val="44"/>
          <w:szCs w:val="44"/>
        </w:rPr>
      </w:pPr>
      <w:r>
        <w:rPr>
          <w:rFonts w:ascii="方正书宋_GBK" w:eastAsia="方正书宋_GBK" w:hAnsi="方正书宋_GBK" w:cs="方正书宋_GBK" w:hint="eastAsia"/>
          <w:kern w:val="0"/>
          <w:sz w:val="44"/>
          <w:szCs w:val="44"/>
        </w:rPr>
        <w:t>杭州市2018年度政府集中采购目录</w:t>
      </w:r>
    </w:p>
    <w:p w:rsidR="0050321A" w:rsidRDefault="00B52401">
      <w:pPr>
        <w:adjustRightInd w:val="0"/>
        <w:snapToGrid w:val="0"/>
        <w:spacing w:line="240" w:lineRule="auto"/>
        <w:jc w:val="center"/>
        <w:rPr>
          <w:rFonts w:ascii="方正书宋_GBK" w:eastAsia="方正书宋_GBK" w:hAnsi="方正书宋_GBK" w:cs="方正书宋_GBK"/>
          <w:kern w:val="0"/>
          <w:sz w:val="44"/>
          <w:szCs w:val="44"/>
        </w:rPr>
      </w:pPr>
      <w:r>
        <w:rPr>
          <w:rFonts w:ascii="方正书宋_GBK" w:eastAsia="方正书宋_GBK" w:hAnsi="方正书宋_GBK" w:cs="方正书宋_GBK" w:hint="eastAsia"/>
          <w:kern w:val="0"/>
          <w:sz w:val="44"/>
          <w:szCs w:val="44"/>
        </w:rPr>
        <w:t>和限额标准</w:t>
      </w:r>
    </w:p>
    <w:p w:rsidR="0050321A" w:rsidRDefault="0050321A">
      <w:pPr>
        <w:adjustRightInd w:val="0"/>
        <w:snapToGrid w:val="0"/>
        <w:spacing w:line="240" w:lineRule="auto"/>
        <w:jc w:val="center"/>
        <w:rPr>
          <w:rFonts w:ascii="方正小标宋_GBK" w:eastAsia="方正小标宋_GBK" w:hAnsi="宋体" w:cs="黑体"/>
          <w:b/>
          <w:color w:val="000000"/>
          <w:sz w:val="44"/>
          <w:szCs w:val="44"/>
        </w:rPr>
      </w:pPr>
    </w:p>
    <w:p w:rsidR="0050321A" w:rsidRDefault="00B52401">
      <w:pPr>
        <w:pStyle w:val="1"/>
        <w:widowControl/>
        <w:snapToGrid w:val="0"/>
        <w:spacing w:line="240" w:lineRule="auto"/>
        <w:ind w:right="616" w:firstLineChars="0" w:firstLine="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 xml:space="preserve">    一、集中采购目录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"/>
        <w:gridCol w:w="2806"/>
        <w:gridCol w:w="29"/>
        <w:gridCol w:w="4194"/>
        <w:gridCol w:w="59"/>
      </w:tblGrid>
      <w:tr w:rsidR="0050321A" w:rsidTr="00A0292B">
        <w:trPr>
          <w:gridAfter w:val="1"/>
          <w:wAfter w:w="59" w:type="dxa"/>
          <w:trHeight w:val="516"/>
          <w:tblHeader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项目代码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40" w:lineRule="auto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主要规格及配置（限额标准）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货物类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A02010103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服务器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年度预算金额在1万元以下不纳入政府采购。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A02010104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台式计算机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A02010105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便携式计算机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A02010107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平板式微型计算机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A02010201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路由器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年度预算金额在1万元以下不纳入政府采购。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A02010202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交换设备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限于交换机。年度预算金额在1万元以下不纳入政府采购。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A02010301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信息安全设备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限于负载均衡设备、防火墙、网闸。年度预算金额在1万元以下不纳入政府采购。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A020105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存储设备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限于磁盘阵列、存储用光纤交换机。年度预算金额在1万元以下不纳入政府采购。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A02010601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打印设备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限于喷墨、激光、针式和条码打印机。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A0201060901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扫描仪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A020201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复印机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A020202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投影仪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trHeight w:val="523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A020204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多功能一体机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限于复印、打印、传真一体机。</w:t>
            </w:r>
          </w:p>
        </w:tc>
      </w:tr>
      <w:tr w:rsidR="0050321A" w:rsidTr="00A0292B">
        <w:trPr>
          <w:gridAfter w:val="1"/>
          <w:wAfter w:w="59" w:type="dxa"/>
          <w:trHeight w:val="553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A020205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照相机及器材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限于照相机、镜头。</w:t>
            </w:r>
          </w:p>
        </w:tc>
      </w:tr>
      <w:tr w:rsidR="0050321A" w:rsidTr="00A0292B">
        <w:trPr>
          <w:gridAfter w:val="1"/>
          <w:wAfter w:w="59" w:type="dxa"/>
          <w:trHeight w:val="523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A02021001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速印机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trHeight w:val="553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A020305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乘用车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trHeight w:val="553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A020306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客车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trHeight w:val="488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A020307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专用车辆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trHeight w:val="488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A02061504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不间断电源（UPS）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A0206180203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空调机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限于中央空调、多联式空调、恒温恒湿精密空调、壁挂式空调、吸顶机、柜机。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A020808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视频会议系统设备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A02091001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普通电视设备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限于电视机。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A02091102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通用摄像机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A0321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计划生育避孕药具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A050201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义务教育教科书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限于国家课程、省级地方课程、配套作业本。无需编制政府采购预算。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A0601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办公家具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限于木制家具、钢制家具、宿舍家具和</w:t>
            </w:r>
            <w:proofErr w:type="gramStart"/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校具</w:t>
            </w:r>
            <w:proofErr w:type="gramEnd"/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。年度预算金额100万元以下无需编制政府采购预算，在1万元以下不纳入政府采购。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A070301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工作制服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年度预算金额100万元以下无需编制政府采购预算，在1万元以下不纳入政府采购。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A1108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医用耗材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300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A2001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辅助学习资源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限于全省教育系统义务教育音像教材、学具和科学计算器。无需编制政府采购预算。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工程类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单项价格或批量采购金额在50万元以下项目不纳入政府采购。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建筑物施工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构筑物施工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B06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建筑安装工程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B07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装修工程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B08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修缮工程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B99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其他建筑工程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服务类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C0301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电信服务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限于网络线路租赁。无需编制政府采购预算。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C0403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车辆及其他运输机械租赁服务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限于公务出行用车服务。无需编制政府采购预算。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C050301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车辆维修和保养服务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C050302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车辆加油服务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C060102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一般会议服务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C0803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审计服务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限于财务会计审计服务、工程投资审核服务（工程造价咨询、工程结算和工程竣工财务决算）。无需编制政府采购预算。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C081401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印刷服务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C0820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绩效评价服务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C1204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物业管理服务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C15040201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机动车保险服务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C180601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省内培训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50321A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C190107</w:t>
            </w: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健康检查服务</w:t>
            </w: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50321A" w:rsidRDefault="00B52401">
            <w:pPr>
              <w:widowControl/>
              <w:snapToGrid w:val="0"/>
              <w:spacing w:line="288" w:lineRule="auto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无需编制政府采购预算。</w:t>
            </w:r>
          </w:p>
        </w:tc>
      </w:tr>
      <w:tr w:rsidR="00A0292B" w:rsidTr="00A0292B">
        <w:trPr>
          <w:gridAfter w:val="1"/>
          <w:wAfter w:w="59" w:type="dxa"/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A0292B" w:rsidRDefault="00A0292B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shd w:val="clear" w:color="auto" w:fill="FFFFFF"/>
            <w:vAlign w:val="center"/>
          </w:tcPr>
          <w:p w:rsidR="00A0292B" w:rsidRDefault="00A0292B">
            <w:pPr>
              <w:widowControl/>
              <w:snapToGrid w:val="0"/>
              <w:spacing w:line="288" w:lineRule="auto"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shd w:val="clear" w:color="auto" w:fill="FFFFFF"/>
            <w:vAlign w:val="center"/>
          </w:tcPr>
          <w:p w:rsidR="00A0292B" w:rsidRDefault="00A0292B">
            <w:pPr>
              <w:widowControl/>
              <w:snapToGrid w:val="0"/>
              <w:spacing w:line="288" w:lineRule="auto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A0292B" w:rsidTr="00A0292B">
        <w:trPr>
          <w:trHeight w:val="519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92B" w:rsidRPr="00A0292B" w:rsidRDefault="00A0292B" w:rsidP="00A0292B"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A0292B">
              <w:rPr>
                <w:rFonts w:ascii="仿宋_GB2312" w:hAnsi="宋体" w:cs="宋体"/>
                <w:bCs/>
                <w:kern w:val="0"/>
                <w:sz w:val="28"/>
                <w:szCs w:val="28"/>
              </w:rPr>
              <w:t>A03341202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2B" w:rsidRPr="00A0292B" w:rsidRDefault="00A0292B" w:rsidP="00A0292B"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A0292B">
              <w:rPr>
                <w:rFonts w:ascii="仿宋_GB2312" w:hAnsi="宋体" w:cs="宋体"/>
                <w:bCs/>
                <w:kern w:val="0"/>
                <w:sz w:val="28"/>
                <w:szCs w:val="28"/>
              </w:rPr>
              <w:t>高教仪器设备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2B" w:rsidRPr="00A0292B" w:rsidRDefault="00A0292B" w:rsidP="00A0292B"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A0292B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分散采购</w:t>
            </w:r>
          </w:p>
        </w:tc>
      </w:tr>
    </w:tbl>
    <w:p w:rsidR="0050321A" w:rsidRDefault="0050321A" w:rsidP="00A0292B">
      <w:pPr>
        <w:snapToGrid w:val="0"/>
        <w:spacing w:line="336" w:lineRule="auto"/>
        <w:ind w:right="616"/>
        <w:jc w:val="center"/>
      </w:pPr>
    </w:p>
    <w:p w:rsidR="0050321A" w:rsidRDefault="0050321A" w:rsidP="00F67747">
      <w:pPr>
        <w:snapToGrid w:val="0"/>
        <w:spacing w:line="336" w:lineRule="auto"/>
        <w:ind w:left="819" w:hangingChars="299" w:hanging="819"/>
        <w:rPr>
          <w:rFonts w:ascii="楷体_GB2312" w:eastAsia="楷体_GB2312" w:hAnsi="楷体_GB2312" w:cs="楷体_GB2312"/>
          <w:sz w:val="28"/>
          <w:szCs w:val="28"/>
        </w:rPr>
      </w:pPr>
      <w:bookmarkStart w:id="0" w:name="_GoBack"/>
      <w:bookmarkEnd w:id="0"/>
    </w:p>
    <w:tbl>
      <w:tblPr>
        <w:tblpPr w:leftFromText="181" w:rightFromText="181" w:horzAnchor="margin" w:tblpXSpec="center" w:tblpYSpec="bottom"/>
        <w:tblOverlap w:val="never"/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168"/>
        <w:gridCol w:w="4436"/>
      </w:tblGrid>
      <w:tr w:rsidR="0050321A">
        <w:trPr>
          <w:trHeight w:val="425"/>
          <w:jc w:val="center"/>
        </w:trPr>
        <w:tc>
          <w:tcPr>
            <w:tcW w:w="1240" w:type="dxa"/>
            <w:tcBorders>
              <w:top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0321A" w:rsidRDefault="00B52401">
            <w:pPr>
              <w:autoSpaceDN w:val="0"/>
              <w:snapToGrid w:val="0"/>
              <w:spacing w:line="240" w:lineRule="auto"/>
              <w:ind w:firstLineChars="100" w:firstLine="274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抄送：</w:t>
            </w:r>
          </w:p>
        </w:tc>
        <w:tc>
          <w:tcPr>
            <w:tcW w:w="7604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50321A" w:rsidRDefault="00B52401">
            <w:pPr>
              <w:autoSpaceDN w:val="0"/>
              <w:spacing w:line="240" w:lineRule="auto"/>
              <w:ind w:rightChars="100" w:right="314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市委各部门，市纪委，杭州警备区，市各群众团体。</w:t>
            </w:r>
          </w:p>
          <w:p w:rsidR="0050321A" w:rsidRDefault="00B52401">
            <w:pPr>
              <w:autoSpaceDN w:val="0"/>
              <w:spacing w:line="240" w:lineRule="auto"/>
              <w:ind w:rightChars="100" w:right="314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市人大常委会办公厅，市政协办公厅，市法院，市检察院。</w:t>
            </w:r>
          </w:p>
          <w:p w:rsidR="0050321A" w:rsidRDefault="00B52401">
            <w:pPr>
              <w:autoSpaceDN w:val="0"/>
              <w:spacing w:line="240" w:lineRule="auto"/>
              <w:ind w:rightChars="100" w:right="314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市各民主党派。</w:t>
            </w:r>
          </w:p>
        </w:tc>
      </w:tr>
      <w:tr w:rsidR="0050321A">
        <w:trPr>
          <w:trHeight w:val="482"/>
          <w:jc w:val="center"/>
        </w:trPr>
        <w:tc>
          <w:tcPr>
            <w:tcW w:w="440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0321A" w:rsidRDefault="00B52401">
            <w:pPr>
              <w:autoSpaceDN w:val="0"/>
              <w:spacing w:line="240" w:lineRule="auto"/>
              <w:ind w:leftChars="100" w:left="314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杭州市人民政府办公厅</w:t>
            </w:r>
          </w:p>
        </w:tc>
        <w:tc>
          <w:tcPr>
            <w:tcW w:w="443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0321A" w:rsidRDefault="00B52401">
            <w:pPr>
              <w:autoSpaceDN w:val="0"/>
              <w:spacing w:line="240" w:lineRule="auto"/>
              <w:ind w:rightChars="100" w:right="314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2018年2月22日印发</w:t>
            </w:r>
          </w:p>
        </w:tc>
      </w:tr>
      <w:tr w:rsidR="0050321A">
        <w:trPr>
          <w:trHeight w:hRule="exact" w:val="79"/>
          <w:jc w:val="center"/>
        </w:trPr>
        <w:tc>
          <w:tcPr>
            <w:tcW w:w="4408" w:type="dxa"/>
            <w:gridSpan w:val="2"/>
            <w:tcBorders>
              <w:top w:val="single" w:sz="8" w:space="0" w:color="auto"/>
              <w:bottom w:val="nil"/>
            </w:tcBorders>
          </w:tcPr>
          <w:p w:rsidR="0050321A" w:rsidRDefault="0050321A">
            <w:pPr>
              <w:autoSpaceDN w:val="0"/>
              <w:spacing w:line="240" w:lineRule="auto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8" w:space="0" w:color="auto"/>
              <w:bottom w:val="nil"/>
            </w:tcBorders>
          </w:tcPr>
          <w:p w:rsidR="0050321A" w:rsidRDefault="0050321A">
            <w:pPr>
              <w:autoSpaceDN w:val="0"/>
              <w:spacing w:line="240" w:lineRule="auto"/>
              <w:ind w:rightChars="100" w:right="314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50321A" w:rsidRDefault="0050321A">
            <w:pPr>
              <w:autoSpaceDN w:val="0"/>
              <w:spacing w:line="240" w:lineRule="auto"/>
              <w:ind w:rightChars="100" w:right="314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50321A" w:rsidRDefault="0050321A">
      <w:pPr>
        <w:autoSpaceDN w:val="0"/>
        <w:spacing w:line="240" w:lineRule="auto"/>
        <w:jc w:val="left"/>
        <w:rPr>
          <w:rFonts w:ascii="仿宋_GB2312" w:hAnsi="仿宋_GB2312" w:cs="仿宋_GB2312"/>
          <w:sz w:val="28"/>
          <w:szCs w:val="28"/>
        </w:rPr>
      </w:pPr>
    </w:p>
    <w:sectPr w:rsidR="0050321A">
      <w:footerReference w:type="even" r:id="rId8"/>
      <w:footerReference w:type="default" r:id="rId9"/>
      <w:type w:val="continuous"/>
      <w:pgSz w:w="11906" w:h="16838"/>
      <w:pgMar w:top="2013" w:right="1474" w:bottom="1899" w:left="1588" w:header="851" w:footer="107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61" w:rsidRDefault="00103F61">
      <w:pPr>
        <w:spacing w:line="240" w:lineRule="auto"/>
      </w:pPr>
      <w:r>
        <w:separator/>
      </w:r>
    </w:p>
  </w:endnote>
  <w:endnote w:type="continuationSeparator" w:id="0">
    <w:p w:rsidR="00103F61" w:rsidRDefault="00103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1A" w:rsidRDefault="00B52401">
    <w:pPr>
      <w:pStyle w:val="a7"/>
      <w:spacing w:line="437" w:lineRule="auto"/>
      <w:ind w:leftChars="50" w:left="154"/>
      <w:jc w:val="left"/>
      <w:rPr>
        <w:rStyle w:val="a5"/>
        <w:rFonts w:ascii="宋体" w:eastAsia="宋体" w:hAnsi="宋体"/>
        <w:sz w:val="28"/>
      </w:rPr>
    </w:pPr>
    <w:r>
      <w:rPr>
        <w:rStyle w:val="a5"/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 w:rsidR="00A0292B">
      <w:rPr>
        <w:rStyle w:val="a5"/>
        <w:rFonts w:ascii="宋体" w:eastAsia="宋体" w:hAnsi="宋体"/>
        <w:noProof/>
        <w:sz w:val="28"/>
      </w:rPr>
      <w:t>4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5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1A" w:rsidRDefault="00B52401" w:rsidP="00F67747">
    <w:pPr>
      <w:pStyle w:val="a7"/>
      <w:wordWrap w:val="0"/>
      <w:spacing w:line="44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5"/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cs="宋体" w:hint="eastAsia"/>
        <w:sz w:val="28"/>
        <w:szCs w:val="28"/>
      </w:rPr>
      <w:instrText xml:space="preserve"> PAGE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A0292B" w:rsidRPr="00A0292B">
      <w:rPr>
        <w:noProof/>
      </w:rPr>
      <w:t>3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5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61" w:rsidRDefault="00103F61">
      <w:pPr>
        <w:spacing w:line="240" w:lineRule="auto"/>
      </w:pPr>
      <w:r>
        <w:separator/>
      </w:r>
    </w:p>
  </w:footnote>
  <w:footnote w:type="continuationSeparator" w:id="0">
    <w:p w:rsidR="00103F61" w:rsidRDefault="00103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08"/>
  <w:drawingGridVerticalSpacing w:val="295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F092107"/>
    <w:rsid w:val="CB2BB490"/>
    <w:rsid w:val="F77FB8BE"/>
    <w:rsid w:val="FBFEBC59"/>
    <w:rsid w:val="00103F61"/>
    <w:rsid w:val="001A701E"/>
    <w:rsid w:val="0050321A"/>
    <w:rsid w:val="007423BB"/>
    <w:rsid w:val="007C05AF"/>
    <w:rsid w:val="00A0292B"/>
    <w:rsid w:val="00B52401"/>
    <w:rsid w:val="00D42450"/>
    <w:rsid w:val="00E30A87"/>
    <w:rsid w:val="00F67747"/>
    <w:rsid w:val="01316FC3"/>
    <w:rsid w:val="01862714"/>
    <w:rsid w:val="021D7488"/>
    <w:rsid w:val="025144C8"/>
    <w:rsid w:val="0252665D"/>
    <w:rsid w:val="02AF69F7"/>
    <w:rsid w:val="02E87E56"/>
    <w:rsid w:val="02FA5B72"/>
    <w:rsid w:val="03393DF6"/>
    <w:rsid w:val="05881EF1"/>
    <w:rsid w:val="07C73B1A"/>
    <w:rsid w:val="08E16F5B"/>
    <w:rsid w:val="08E35BA2"/>
    <w:rsid w:val="095C1FE8"/>
    <w:rsid w:val="099F3D57"/>
    <w:rsid w:val="0A960A6B"/>
    <w:rsid w:val="0B2062ED"/>
    <w:rsid w:val="0C43782D"/>
    <w:rsid w:val="0D130DFF"/>
    <w:rsid w:val="0D196FD8"/>
    <w:rsid w:val="0D7163FE"/>
    <w:rsid w:val="0D857002"/>
    <w:rsid w:val="0DD12FB0"/>
    <w:rsid w:val="0E565DD4"/>
    <w:rsid w:val="0EC17841"/>
    <w:rsid w:val="0EED5E99"/>
    <w:rsid w:val="0F092107"/>
    <w:rsid w:val="0F4920A4"/>
    <w:rsid w:val="10D94E1F"/>
    <w:rsid w:val="11D648D0"/>
    <w:rsid w:val="11DE1391"/>
    <w:rsid w:val="131751BA"/>
    <w:rsid w:val="13233ABF"/>
    <w:rsid w:val="13EC3FBB"/>
    <w:rsid w:val="142A18A2"/>
    <w:rsid w:val="14B055E2"/>
    <w:rsid w:val="14BD5A70"/>
    <w:rsid w:val="15AD04D8"/>
    <w:rsid w:val="16733D65"/>
    <w:rsid w:val="16A84E51"/>
    <w:rsid w:val="17267F85"/>
    <w:rsid w:val="17DB2059"/>
    <w:rsid w:val="181F3A21"/>
    <w:rsid w:val="183F216E"/>
    <w:rsid w:val="18B34E47"/>
    <w:rsid w:val="18E83469"/>
    <w:rsid w:val="1993630B"/>
    <w:rsid w:val="1A0D2313"/>
    <w:rsid w:val="1D594B70"/>
    <w:rsid w:val="1DC37854"/>
    <w:rsid w:val="1E806DB1"/>
    <w:rsid w:val="1EDD13EC"/>
    <w:rsid w:val="1F4D6D9E"/>
    <w:rsid w:val="1F575040"/>
    <w:rsid w:val="1F7A45ED"/>
    <w:rsid w:val="1F7B0DB7"/>
    <w:rsid w:val="1F983263"/>
    <w:rsid w:val="1FC15723"/>
    <w:rsid w:val="210E1B4B"/>
    <w:rsid w:val="21A279C8"/>
    <w:rsid w:val="224042FE"/>
    <w:rsid w:val="22C43BEF"/>
    <w:rsid w:val="22E152C9"/>
    <w:rsid w:val="22ED7904"/>
    <w:rsid w:val="23363884"/>
    <w:rsid w:val="2363679C"/>
    <w:rsid w:val="24BE2ED6"/>
    <w:rsid w:val="26361ABD"/>
    <w:rsid w:val="26804516"/>
    <w:rsid w:val="27A768C9"/>
    <w:rsid w:val="28E00B4F"/>
    <w:rsid w:val="29785CDA"/>
    <w:rsid w:val="297F2F7C"/>
    <w:rsid w:val="29DC6807"/>
    <w:rsid w:val="2A0321A1"/>
    <w:rsid w:val="2B10035B"/>
    <w:rsid w:val="2B4A4093"/>
    <w:rsid w:val="2BE110CC"/>
    <w:rsid w:val="2C26057E"/>
    <w:rsid w:val="2C38122A"/>
    <w:rsid w:val="2CD90022"/>
    <w:rsid w:val="2D0852EE"/>
    <w:rsid w:val="2D140142"/>
    <w:rsid w:val="2D607001"/>
    <w:rsid w:val="2E534B7F"/>
    <w:rsid w:val="2F647BA9"/>
    <w:rsid w:val="2FA33D38"/>
    <w:rsid w:val="2FAB58C1"/>
    <w:rsid w:val="30391EE2"/>
    <w:rsid w:val="30881A2C"/>
    <w:rsid w:val="31327CC7"/>
    <w:rsid w:val="315F0A35"/>
    <w:rsid w:val="32144A36"/>
    <w:rsid w:val="342B6532"/>
    <w:rsid w:val="349A34DB"/>
    <w:rsid w:val="35DD1EFC"/>
    <w:rsid w:val="35E10A82"/>
    <w:rsid w:val="365B0F3E"/>
    <w:rsid w:val="36C52B6C"/>
    <w:rsid w:val="36EE26AB"/>
    <w:rsid w:val="37AC6599"/>
    <w:rsid w:val="38481364"/>
    <w:rsid w:val="38586D15"/>
    <w:rsid w:val="39810466"/>
    <w:rsid w:val="39833397"/>
    <w:rsid w:val="398A4598"/>
    <w:rsid w:val="39B11E02"/>
    <w:rsid w:val="3A584A87"/>
    <w:rsid w:val="3AC60AFD"/>
    <w:rsid w:val="3AE3482A"/>
    <w:rsid w:val="3B591178"/>
    <w:rsid w:val="3CAA4196"/>
    <w:rsid w:val="3CBD7774"/>
    <w:rsid w:val="3CF63294"/>
    <w:rsid w:val="3D7F29FF"/>
    <w:rsid w:val="3E470791"/>
    <w:rsid w:val="3E7A05BD"/>
    <w:rsid w:val="3FA62879"/>
    <w:rsid w:val="40757A4F"/>
    <w:rsid w:val="40FB15DE"/>
    <w:rsid w:val="410211AD"/>
    <w:rsid w:val="410427B6"/>
    <w:rsid w:val="42802FA7"/>
    <w:rsid w:val="429D6E94"/>
    <w:rsid w:val="42EF090E"/>
    <w:rsid w:val="42F332E6"/>
    <w:rsid w:val="43202EB0"/>
    <w:rsid w:val="435B1A11"/>
    <w:rsid w:val="43CB1CC4"/>
    <w:rsid w:val="44185647"/>
    <w:rsid w:val="461A5778"/>
    <w:rsid w:val="463B2296"/>
    <w:rsid w:val="47E34045"/>
    <w:rsid w:val="492E089B"/>
    <w:rsid w:val="49877032"/>
    <w:rsid w:val="4B274F11"/>
    <w:rsid w:val="4B350CE5"/>
    <w:rsid w:val="4BCA7EF6"/>
    <w:rsid w:val="4D337AB8"/>
    <w:rsid w:val="4E02140A"/>
    <w:rsid w:val="4F1A6DA4"/>
    <w:rsid w:val="4F865B9E"/>
    <w:rsid w:val="4FDC2FCE"/>
    <w:rsid w:val="4FE75B49"/>
    <w:rsid w:val="50A71CAD"/>
    <w:rsid w:val="50CA0599"/>
    <w:rsid w:val="51785696"/>
    <w:rsid w:val="529F4C9C"/>
    <w:rsid w:val="52D61846"/>
    <w:rsid w:val="54082EBC"/>
    <w:rsid w:val="54313AAE"/>
    <w:rsid w:val="544A1B96"/>
    <w:rsid w:val="545F13F9"/>
    <w:rsid w:val="54963482"/>
    <w:rsid w:val="55145A25"/>
    <w:rsid w:val="552C668A"/>
    <w:rsid w:val="55472BBD"/>
    <w:rsid w:val="55AF7E22"/>
    <w:rsid w:val="564F4128"/>
    <w:rsid w:val="57AD78E7"/>
    <w:rsid w:val="58035631"/>
    <w:rsid w:val="580D7AFE"/>
    <w:rsid w:val="58FC0657"/>
    <w:rsid w:val="596A258F"/>
    <w:rsid w:val="5A0E034B"/>
    <w:rsid w:val="5A6E1669"/>
    <w:rsid w:val="5A7979FA"/>
    <w:rsid w:val="5B526AEB"/>
    <w:rsid w:val="5B8353D2"/>
    <w:rsid w:val="5B952750"/>
    <w:rsid w:val="5C4415EF"/>
    <w:rsid w:val="5C564D8D"/>
    <w:rsid w:val="5D432A17"/>
    <w:rsid w:val="5D9A6A13"/>
    <w:rsid w:val="5DFF577A"/>
    <w:rsid w:val="5E384D2C"/>
    <w:rsid w:val="5E890C6D"/>
    <w:rsid w:val="5EA33806"/>
    <w:rsid w:val="5F995DE3"/>
    <w:rsid w:val="5FE56E3E"/>
    <w:rsid w:val="60030434"/>
    <w:rsid w:val="612B73C6"/>
    <w:rsid w:val="61A76A6F"/>
    <w:rsid w:val="62156F49"/>
    <w:rsid w:val="63520391"/>
    <w:rsid w:val="63D53F5A"/>
    <w:rsid w:val="658B4525"/>
    <w:rsid w:val="66001F65"/>
    <w:rsid w:val="66500DEB"/>
    <w:rsid w:val="665541AD"/>
    <w:rsid w:val="665F7EC9"/>
    <w:rsid w:val="66C877B0"/>
    <w:rsid w:val="67FB3025"/>
    <w:rsid w:val="67FF71BD"/>
    <w:rsid w:val="684022FD"/>
    <w:rsid w:val="68F25B3B"/>
    <w:rsid w:val="6B0123B7"/>
    <w:rsid w:val="6B896A79"/>
    <w:rsid w:val="6C1145E6"/>
    <w:rsid w:val="6C5B2117"/>
    <w:rsid w:val="6DDF49CF"/>
    <w:rsid w:val="6E0E551E"/>
    <w:rsid w:val="6E112C1F"/>
    <w:rsid w:val="6E815F40"/>
    <w:rsid w:val="6EEF260E"/>
    <w:rsid w:val="6F2C4671"/>
    <w:rsid w:val="6F724F37"/>
    <w:rsid w:val="6FD77079"/>
    <w:rsid w:val="700468D2"/>
    <w:rsid w:val="70316BC2"/>
    <w:rsid w:val="708D2700"/>
    <w:rsid w:val="70B33CD6"/>
    <w:rsid w:val="70EC4652"/>
    <w:rsid w:val="718E63D9"/>
    <w:rsid w:val="71B53A1C"/>
    <w:rsid w:val="72993414"/>
    <w:rsid w:val="72E916CB"/>
    <w:rsid w:val="731B6E65"/>
    <w:rsid w:val="73316433"/>
    <w:rsid w:val="740E7C9B"/>
    <w:rsid w:val="76096233"/>
    <w:rsid w:val="761A4706"/>
    <w:rsid w:val="76573895"/>
    <w:rsid w:val="765C3ABF"/>
    <w:rsid w:val="766477ED"/>
    <w:rsid w:val="767744A9"/>
    <w:rsid w:val="76BA05D5"/>
    <w:rsid w:val="76C96671"/>
    <w:rsid w:val="7788300F"/>
    <w:rsid w:val="77EE514F"/>
    <w:rsid w:val="78E57C65"/>
    <w:rsid w:val="794D6390"/>
    <w:rsid w:val="7A2D6D03"/>
    <w:rsid w:val="7ACD5903"/>
    <w:rsid w:val="7B941ACD"/>
    <w:rsid w:val="7C6314D2"/>
    <w:rsid w:val="7C776CC5"/>
    <w:rsid w:val="7D707D59"/>
    <w:rsid w:val="7DC166B5"/>
    <w:rsid w:val="7FCA24B7"/>
    <w:rsid w:val="7FD37543"/>
    <w:rsid w:val="7FDF7A26"/>
    <w:rsid w:val="9BFDF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</w:style>
  <w:style w:type="character" w:styleId="a5">
    <w:name w:val="page number"/>
    <w:basedOn w:val="a1"/>
  </w:style>
  <w:style w:type="paragraph" w:customStyle="1" w:styleId="a">
    <w:name w:val="居中"/>
    <w:basedOn w:val="a0"/>
    <w:pPr>
      <w:numPr>
        <w:numId w:val="1"/>
      </w:numPr>
    </w:pPr>
  </w:style>
  <w:style w:type="paragraph" w:customStyle="1" w:styleId="1">
    <w:name w:val="列出段落1"/>
    <w:basedOn w:val="a0"/>
    <w:pPr>
      <w:ind w:firstLineChars="200" w:firstLine="420"/>
    </w:pPr>
  </w:style>
  <w:style w:type="paragraph" w:styleId="a6">
    <w:name w:val="header"/>
    <w:basedOn w:val="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</w:style>
  <w:style w:type="character" w:styleId="a5">
    <w:name w:val="page number"/>
    <w:basedOn w:val="a1"/>
  </w:style>
  <w:style w:type="paragraph" w:customStyle="1" w:styleId="a">
    <w:name w:val="居中"/>
    <w:basedOn w:val="a0"/>
    <w:pPr>
      <w:numPr>
        <w:numId w:val="1"/>
      </w:numPr>
    </w:pPr>
  </w:style>
  <w:style w:type="paragraph" w:customStyle="1" w:styleId="1">
    <w:name w:val="列出段落1"/>
    <w:basedOn w:val="a0"/>
    <w:pPr>
      <w:ind w:firstLineChars="200" w:firstLine="420"/>
    </w:pPr>
  </w:style>
  <w:style w:type="paragraph" w:styleId="a6">
    <w:name w:val="header"/>
    <w:basedOn w:val="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36164;&#26009;\&#25105;&#30340;&#25991;&#26723;\Desktop\Temp\4890&#21407;&#22987;&#27169;&#26495;\&#25253;&#21578;-1&#20010;&#31456;&#21333;&#21457;&#25991;&#65288;&#19978;&#34892;&#30701;&#32626;&#21517;&#65289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报告-1个章单发文（上行短署名）.wpt</Template>
  <TotalTime>8</TotalTime>
  <Pages>4</Pages>
  <Words>241</Words>
  <Characters>1375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SystemManager</dc:creator>
  <cp:lastModifiedBy>微软用户</cp:lastModifiedBy>
  <cp:revision>3</cp:revision>
  <cp:lastPrinted>2018-02-22T03:11:00Z</cp:lastPrinted>
  <dcterms:created xsi:type="dcterms:W3CDTF">2018-05-16T07:13:00Z</dcterms:created>
  <dcterms:modified xsi:type="dcterms:W3CDTF">2018-05-16T07:21:00Z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2052-9.1.0.5459</vt:lpwstr>
  </property>
  <property fmtid="{D5CDD505-2E9C-101B-9397-08002B2CF9AE}" pid="3" name="公文模板版本">
    <vt:lpwstr>20150728</vt:lpwstr>
  </property>
  <property fmtid="{D5CDD505-2E9C-101B-9397-08002B2CF9AE}" pid="4" name="文种">
    <vt:lpwstr>通知</vt:lpwstr>
  </property>
  <property fmtid="{D5CDD505-2E9C-101B-9397-08002B2CF9AE}" pid="5" name="公文标识">
    <vt:lpwstr>1.2.156.10.400002195-C01-2018-8-1220-24</vt:lpwstr>
  </property>
</Properties>
</file>