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b/>
          <w:sz w:val="20"/>
          <w:szCs w:val="20"/>
        </w:rPr>
      </w:pPr>
      <w:r>
        <w:rPr>
          <w:rFonts w:hint="eastAsia"/>
          <w:b/>
          <w:sz w:val="20"/>
          <w:szCs w:val="20"/>
          <w:lang w:eastAsia="zh-CN"/>
        </w:rPr>
        <w:t>编</w:t>
      </w:r>
      <w:r>
        <w:rPr>
          <w:rFonts w:hint="eastAsia"/>
          <w:b/>
          <w:sz w:val="20"/>
          <w:szCs w:val="20"/>
        </w:rPr>
        <w:t>号（                    ）</w:t>
      </w:r>
      <w:bookmarkStart w:id="0" w:name="_GoBack"/>
      <w:bookmarkEnd w:id="0"/>
    </w:p>
    <w:p>
      <w:pPr>
        <w:spacing w:line="360" w:lineRule="auto"/>
        <w:ind w:firstLine="321" w:firstLineChars="100"/>
        <w:jc w:val="center"/>
        <w:rPr>
          <w:b/>
          <w:sz w:val="32"/>
          <w:szCs w:val="32"/>
        </w:rPr>
      </w:pPr>
      <w:r>
        <w:rPr>
          <w:rFonts w:hint="eastAsia"/>
          <w:b/>
          <w:sz w:val="32"/>
          <w:szCs w:val="32"/>
        </w:rPr>
        <w:t>仓前实验室布局及使用符合实验室安全规划的承诺书</w:t>
      </w:r>
    </w:p>
    <w:p>
      <w:pPr>
        <w:spacing w:line="400" w:lineRule="exact"/>
        <w:ind w:firstLine="480" w:firstLineChars="200"/>
        <w:rPr>
          <w:sz w:val="24"/>
          <w:szCs w:val="24"/>
        </w:rPr>
      </w:pPr>
      <w:r>
        <w:rPr>
          <w:rFonts w:hint="eastAsia"/>
          <w:sz w:val="24"/>
          <w:szCs w:val="24"/>
        </w:rPr>
        <w:t>为保障仓前搬迁后实验室有更好的安全管理环境，在实验室建设过程中，本人郑重承诺所负责的_______________实验室设计与使用将严格按照校实验室设备管理处下发的《2019年搬迁学院新校区实验室安全管理规划意见》规划设计。已达到以下几点要求：</w:t>
      </w:r>
    </w:p>
    <w:p>
      <w:pPr>
        <w:pStyle w:val="7"/>
        <w:numPr>
          <w:ilvl w:val="0"/>
          <w:numId w:val="1"/>
        </w:numPr>
        <w:spacing w:line="400" w:lineRule="exact"/>
        <w:ind w:firstLineChars="0"/>
        <w:rPr>
          <w:sz w:val="24"/>
          <w:szCs w:val="24"/>
        </w:rPr>
      </w:pPr>
      <w:r>
        <w:rPr>
          <w:rFonts w:hint="eastAsia"/>
          <w:sz w:val="24"/>
          <w:szCs w:val="24"/>
        </w:rPr>
        <w:t>附属用房作为实验室用房的重要组成部分应予以保留并预留足够的面积，以确保实验室的安全规划。</w:t>
      </w:r>
      <w:r>
        <w:rPr>
          <w:rFonts w:hint="eastAsia"/>
          <w:b/>
          <w:sz w:val="24"/>
          <w:szCs w:val="24"/>
        </w:rPr>
        <w:t>严禁将学习室、仓库和实验室混为一室。</w:t>
      </w:r>
    </w:p>
    <w:p>
      <w:pPr>
        <w:pStyle w:val="7"/>
        <w:numPr>
          <w:ilvl w:val="0"/>
          <w:numId w:val="1"/>
        </w:numPr>
        <w:spacing w:line="400" w:lineRule="exact"/>
        <w:ind w:firstLineChars="0"/>
        <w:rPr>
          <w:sz w:val="24"/>
          <w:szCs w:val="24"/>
        </w:rPr>
      </w:pPr>
      <w:r>
        <w:rPr>
          <w:rFonts w:hint="eastAsia"/>
          <w:sz w:val="24"/>
          <w:szCs w:val="24"/>
        </w:rPr>
        <w:t>实验室内少量即用的实验室试剂耗品等，建议靠墙或在不影响疏散安全的地方设立储物架（每层高度可自动调节），用于存储不涉安全的普通类耗材、物品。</w:t>
      </w:r>
    </w:p>
    <w:p>
      <w:pPr>
        <w:pStyle w:val="7"/>
        <w:numPr>
          <w:ilvl w:val="0"/>
          <w:numId w:val="1"/>
        </w:numPr>
        <w:spacing w:line="400" w:lineRule="exact"/>
        <w:ind w:firstLineChars="0"/>
        <w:rPr>
          <w:b/>
          <w:sz w:val="24"/>
          <w:szCs w:val="24"/>
        </w:rPr>
      </w:pPr>
      <w:r>
        <w:rPr>
          <w:rFonts w:hint="eastAsia"/>
          <w:sz w:val="24"/>
          <w:szCs w:val="24"/>
        </w:rPr>
        <w:t>试剂柜。根据需要在实验室应规划试剂柜的存放场所。要根据试剂性质采用防酸、防碱及公安管制类试剂暂存柜,柜内安排试剂托盘。试剂柜若需安装通排风管应事先与学院、基建沟通，以预留通排风口。</w:t>
      </w:r>
      <w:r>
        <w:rPr>
          <w:rFonts w:hint="eastAsia"/>
          <w:b/>
          <w:sz w:val="24"/>
          <w:szCs w:val="24"/>
        </w:rPr>
        <w:t>若该实验室的公安管制类试剂的用量较大（一般每月液体超过 10000毫升或固体超过1000克），需向学校实验室与设备管理处提出设立管制类试剂监控点的申请，同意后可在该实验室设立受监控的管制类试剂储存点。</w:t>
      </w:r>
    </w:p>
    <w:p>
      <w:pPr>
        <w:pStyle w:val="7"/>
        <w:numPr>
          <w:ilvl w:val="0"/>
          <w:numId w:val="1"/>
        </w:numPr>
        <w:spacing w:line="400" w:lineRule="exact"/>
        <w:ind w:firstLineChars="0"/>
        <w:rPr>
          <w:b/>
          <w:sz w:val="24"/>
          <w:szCs w:val="24"/>
        </w:rPr>
      </w:pPr>
      <w:r>
        <w:rPr>
          <w:rFonts w:hint="eastAsia"/>
          <w:sz w:val="24"/>
          <w:szCs w:val="24"/>
        </w:rPr>
        <w:t>水电管网和插座规定。插座一律固定化。</w:t>
      </w:r>
      <w:r>
        <w:rPr>
          <w:rFonts w:hint="eastAsia"/>
          <w:b/>
          <w:sz w:val="24"/>
          <w:szCs w:val="24"/>
        </w:rPr>
        <w:t>未经同意，不允许在实验室内使用接线板。</w:t>
      </w:r>
    </w:p>
    <w:p>
      <w:pPr>
        <w:pStyle w:val="7"/>
        <w:numPr>
          <w:ilvl w:val="0"/>
          <w:numId w:val="1"/>
        </w:numPr>
        <w:spacing w:line="400" w:lineRule="exact"/>
        <w:ind w:firstLineChars="0"/>
        <w:rPr>
          <w:sz w:val="24"/>
          <w:szCs w:val="24"/>
        </w:rPr>
      </w:pPr>
      <w:r>
        <w:rPr>
          <w:rFonts w:hint="eastAsia"/>
          <w:sz w:val="24"/>
          <w:szCs w:val="24"/>
        </w:rPr>
        <w:t>气体钢瓶使用存放。除统一供气品类走气体管线外，气体钢瓶按要求靠墙固定存放，若在实验室不靠墙位置存放，必须使用钢瓶柜或钢瓶架，管线走向参照水电管网的走向安排。室内气体钢瓶存放使用参照《气瓶使用安全管理规定》。有必要的楼层可设钢瓶储藏室。对使用易燃，有毒的气体钢瓶（如氢气、乙炔、一氧化碳）的，在实验室的楼房外专门设立房间。</w:t>
      </w:r>
    </w:p>
    <w:p>
      <w:pPr>
        <w:pStyle w:val="7"/>
        <w:numPr>
          <w:ilvl w:val="0"/>
          <w:numId w:val="1"/>
        </w:numPr>
        <w:spacing w:line="400" w:lineRule="exact"/>
        <w:ind w:firstLine="480" w:firstLineChars="0"/>
        <w:rPr>
          <w:sz w:val="24"/>
          <w:szCs w:val="24"/>
        </w:rPr>
      </w:pPr>
      <w:r>
        <w:rPr>
          <w:rFonts w:hint="eastAsia"/>
          <w:sz w:val="24"/>
          <w:szCs w:val="24"/>
        </w:rPr>
        <w:t>疏散通道。凡实验室内布置完毕后，</w:t>
      </w:r>
      <w:r>
        <w:rPr>
          <w:rFonts w:hint="eastAsia"/>
          <w:b/>
          <w:sz w:val="24"/>
          <w:szCs w:val="24"/>
        </w:rPr>
        <w:t>应保留1.5米（含）以上通道宽度。</w:t>
      </w:r>
      <w:r>
        <w:rPr>
          <w:rFonts w:hint="eastAsia"/>
          <w:sz w:val="24"/>
          <w:szCs w:val="24"/>
        </w:rPr>
        <w:t>所有的实验室门均应可以开启。（靠窗处不应设置实验台、桌，如确有需要，实验台、桌不应超出窗户下沿）。</w:t>
      </w:r>
    </w:p>
    <w:p>
      <w:pPr>
        <w:spacing w:line="400" w:lineRule="exact"/>
        <w:ind w:firstLine="480" w:firstLineChars="200"/>
        <w:rPr>
          <w:sz w:val="24"/>
          <w:szCs w:val="24"/>
        </w:rPr>
      </w:pPr>
      <w:r>
        <w:rPr>
          <w:rFonts w:hint="eastAsia"/>
          <w:sz w:val="24"/>
          <w:szCs w:val="24"/>
        </w:rPr>
        <w:t>若验收后不符合相关规定，则实验室不得投入使用，且实验室后续修整费用由本人承担。</w:t>
      </w:r>
    </w:p>
    <w:p>
      <w:pPr>
        <w:spacing w:line="400" w:lineRule="exact"/>
        <w:ind w:firstLine="480" w:firstLineChars="200"/>
        <w:rPr>
          <w:sz w:val="24"/>
          <w:szCs w:val="24"/>
        </w:rPr>
      </w:pPr>
      <w:r>
        <w:rPr>
          <w:rFonts w:hint="eastAsia"/>
          <w:sz w:val="24"/>
          <w:szCs w:val="24"/>
        </w:rPr>
        <w:t xml:space="preserve">特此承诺。                     </w:t>
      </w:r>
    </w:p>
    <w:p>
      <w:pPr>
        <w:ind w:right="640" w:firstLine="3500" w:firstLineChars="1250"/>
        <w:rPr>
          <w:sz w:val="28"/>
          <w:szCs w:val="32"/>
        </w:rPr>
      </w:pPr>
    </w:p>
    <w:p>
      <w:pPr>
        <w:ind w:right="640" w:firstLine="3500" w:firstLineChars="1250"/>
        <w:rPr>
          <w:sz w:val="28"/>
          <w:szCs w:val="32"/>
        </w:rPr>
      </w:pPr>
      <w:r>
        <w:rPr>
          <w:rFonts w:hint="eastAsia"/>
          <w:sz w:val="28"/>
          <w:szCs w:val="32"/>
        </w:rPr>
        <w:t xml:space="preserve">          实验室负责人（签字）：</w:t>
      </w:r>
    </w:p>
    <w:p>
      <w:pPr>
        <w:ind w:right="640" w:firstLine="3780" w:firstLineChars="1350"/>
        <w:rPr>
          <w:sz w:val="28"/>
          <w:szCs w:val="32"/>
        </w:rPr>
      </w:pPr>
      <w:r>
        <w:rPr>
          <w:rFonts w:hint="eastAsia"/>
          <w:sz w:val="28"/>
          <w:szCs w:val="32"/>
        </w:rPr>
        <w:t xml:space="preserve">  </w:t>
      </w:r>
      <w:r>
        <w:rPr>
          <w:sz w:val="28"/>
          <w:szCs w:val="32"/>
        </w:rPr>
        <w:t xml:space="preserve">                   </w:t>
      </w:r>
      <w:r>
        <w:rPr>
          <w:rFonts w:hint="eastAsia"/>
          <w:sz w:val="28"/>
          <w:szCs w:val="32"/>
        </w:rPr>
        <w:t xml:space="preserve"> 年     月     日</w:t>
      </w:r>
    </w:p>
    <w:sectPr>
      <w:pgSz w:w="11906" w:h="16838"/>
      <w:pgMar w:top="851"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44EE5"/>
    <w:multiLevelType w:val="multilevel"/>
    <w:tmpl w:val="0B544EE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883"/>
    <w:rsid w:val="00093995"/>
    <w:rsid w:val="00123883"/>
    <w:rsid w:val="00175661"/>
    <w:rsid w:val="00204CC7"/>
    <w:rsid w:val="0032205D"/>
    <w:rsid w:val="00366C08"/>
    <w:rsid w:val="003814A4"/>
    <w:rsid w:val="00416D92"/>
    <w:rsid w:val="005F46A7"/>
    <w:rsid w:val="007A02BE"/>
    <w:rsid w:val="00810072"/>
    <w:rsid w:val="0089350C"/>
    <w:rsid w:val="009C25BF"/>
    <w:rsid w:val="00A224FC"/>
    <w:rsid w:val="00AA0F6D"/>
    <w:rsid w:val="00BB12F9"/>
    <w:rsid w:val="00BD6787"/>
    <w:rsid w:val="00D1737F"/>
    <w:rsid w:val="00D2652E"/>
    <w:rsid w:val="00EB6F3F"/>
    <w:rsid w:val="00EE37B5"/>
    <w:rsid w:val="00F5329C"/>
    <w:rsid w:val="24A35C14"/>
    <w:rsid w:val="4BD33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pPr>
      <w:spacing w:after="0" w:line="240" w:lineRule="auto"/>
    </w:pPr>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D87875-8E2C-492D-A80E-F7F8BF46F7EE}">
  <ds:schemaRefs/>
</ds:datastoreItem>
</file>

<file path=docProps/app.xml><?xml version="1.0" encoding="utf-8"?>
<Properties xmlns="http://schemas.openxmlformats.org/officeDocument/2006/extended-properties" xmlns:vt="http://schemas.openxmlformats.org/officeDocument/2006/docPropsVTypes">
  <Template>Normal</Template>
  <Pages>1</Pages>
  <Words>134</Words>
  <Characters>770</Characters>
  <Lines>6</Lines>
  <Paragraphs>1</Paragraphs>
  <TotalTime>7</TotalTime>
  <ScaleCrop>false</ScaleCrop>
  <LinksUpToDate>false</LinksUpToDate>
  <CharactersWithSpaces>903</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2019-03-08T06:30:00Z</dcterms:created>
  <dc:creator>SKY-JD</dc:creator>
  <cp:lastModifiedBy>木拿艺</cp:lastModifiedBy>
  <dcterms:modified xsi:type="dcterms:W3CDTF">2019-04-02T07:49:17Z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