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B7" w:rsidRPr="00A817D5" w:rsidRDefault="001F38B7" w:rsidP="001F38B7">
      <w:pPr>
        <w:widowControl/>
        <w:shd w:val="clear" w:color="auto" w:fill="FFFFFF"/>
        <w:spacing w:after="150" w:line="450" w:lineRule="atLeast"/>
        <w:jc w:val="left"/>
        <w:outlineLvl w:val="0"/>
        <w:rPr>
          <w:rFonts w:ascii="Arial" w:eastAsia="宋体" w:hAnsi="Arial" w:cs="Arial"/>
          <w:b/>
          <w:color w:val="333333"/>
          <w:kern w:val="36"/>
          <w:sz w:val="30"/>
          <w:szCs w:val="30"/>
        </w:rPr>
      </w:pPr>
      <w:r w:rsidRPr="00A817D5">
        <w:rPr>
          <w:rFonts w:ascii="Arial" w:eastAsia="宋体" w:hAnsi="Arial" w:cs="Arial" w:hint="eastAsia"/>
          <w:b/>
          <w:color w:val="333333"/>
          <w:kern w:val="36"/>
          <w:sz w:val="30"/>
          <w:szCs w:val="30"/>
        </w:rPr>
        <w:t>附件</w:t>
      </w:r>
      <w:r w:rsidRPr="00A817D5">
        <w:rPr>
          <w:rFonts w:ascii="Arial" w:eastAsia="宋体" w:hAnsi="Arial" w:cs="Arial" w:hint="eastAsia"/>
          <w:b/>
          <w:color w:val="333333"/>
          <w:kern w:val="36"/>
          <w:sz w:val="30"/>
          <w:szCs w:val="30"/>
        </w:rPr>
        <w:t>3</w:t>
      </w:r>
    </w:p>
    <w:p w:rsidR="001F38B7" w:rsidRPr="00542DAF" w:rsidRDefault="001F38B7" w:rsidP="001F38B7">
      <w:pPr>
        <w:widowControl/>
        <w:shd w:val="clear" w:color="auto" w:fill="FFFFFF"/>
        <w:spacing w:after="150" w:line="450" w:lineRule="atLeast"/>
        <w:jc w:val="center"/>
        <w:outlineLvl w:val="0"/>
        <w:rPr>
          <w:rFonts w:ascii="仿宋" w:eastAsia="仿宋" w:hAnsi="仿宋" w:cs="Arial"/>
          <w:b/>
          <w:color w:val="333333"/>
          <w:kern w:val="36"/>
          <w:sz w:val="36"/>
          <w:szCs w:val="36"/>
        </w:rPr>
      </w:pPr>
      <w:r w:rsidRPr="00542DAF">
        <w:rPr>
          <w:rFonts w:ascii="仿宋" w:eastAsia="仿宋" w:hAnsi="仿宋" w:cs="Arial"/>
          <w:b/>
          <w:color w:val="333333"/>
          <w:kern w:val="36"/>
          <w:sz w:val="36"/>
          <w:szCs w:val="36"/>
        </w:rPr>
        <w:t>材料东拼西凑、文件照搬照抄……</w:t>
      </w:r>
    </w:p>
    <w:p w:rsidR="001F38B7" w:rsidRPr="007653A4" w:rsidRDefault="001F38B7" w:rsidP="001F38B7">
      <w:pPr>
        <w:widowControl/>
        <w:shd w:val="clear" w:color="auto" w:fill="FFFFFF"/>
        <w:spacing w:after="150" w:line="450" w:lineRule="atLeast"/>
        <w:jc w:val="center"/>
        <w:outlineLvl w:val="0"/>
        <w:rPr>
          <w:rFonts w:ascii="Arial" w:eastAsia="宋体" w:hAnsi="Arial" w:cs="Arial"/>
          <w:b/>
          <w:color w:val="333333"/>
          <w:kern w:val="36"/>
          <w:sz w:val="36"/>
          <w:szCs w:val="36"/>
        </w:rPr>
      </w:pPr>
      <w:r w:rsidRPr="00542DAF">
        <w:rPr>
          <w:rFonts w:ascii="仿宋" w:eastAsia="仿宋" w:hAnsi="仿宋" w:cs="Arial"/>
          <w:b/>
          <w:color w:val="333333"/>
          <w:kern w:val="36"/>
          <w:sz w:val="36"/>
          <w:szCs w:val="36"/>
        </w:rPr>
        <w:t>省纪委公开曝光4起形式主义问题！</w:t>
      </w:r>
    </w:p>
    <w:p w:rsidR="001F38B7" w:rsidRPr="00542DAF" w:rsidRDefault="001F38B7" w:rsidP="001F38B7">
      <w:pPr>
        <w:widowControl/>
        <w:shd w:val="clear" w:color="auto" w:fill="FFFFFF"/>
        <w:spacing w:line="450" w:lineRule="atLeast"/>
        <w:jc w:val="left"/>
        <w:rPr>
          <w:rFonts w:ascii="仿宋" w:eastAsia="仿宋" w:hAnsi="仿宋" w:cs="Arial"/>
          <w:color w:val="333333"/>
          <w:kern w:val="0"/>
          <w:sz w:val="30"/>
          <w:szCs w:val="30"/>
        </w:rPr>
      </w:pPr>
      <w:r w:rsidRPr="007653A4">
        <w:rPr>
          <w:rFonts w:ascii="Arial" w:eastAsia="宋体" w:hAnsi="Arial" w:cs="Arial"/>
          <w:color w:val="333333"/>
          <w:kern w:val="0"/>
          <w:sz w:val="24"/>
          <w:szCs w:val="24"/>
        </w:rPr>
        <w:t xml:space="preserve">　　</w:t>
      </w:r>
      <w:r w:rsidRPr="00542DAF">
        <w:rPr>
          <w:rFonts w:ascii="仿宋" w:eastAsia="仿宋" w:hAnsi="仿宋" w:cs="Arial"/>
          <w:color w:val="333333"/>
          <w:kern w:val="0"/>
          <w:sz w:val="30"/>
          <w:szCs w:val="30"/>
        </w:rPr>
        <w:t>近日，省纪委对4起形式主义典型问题进行公开曝光。要求广大党员干部引以为戒，自觉对照检查、举一反三。这4起典型问题是：</w:t>
      </w:r>
    </w:p>
    <w:p w:rsidR="001F38B7" w:rsidRPr="00542DAF" w:rsidRDefault="001F38B7" w:rsidP="001F38B7">
      <w:pPr>
        <w:widowControl/>
        <w:shd w:val="clear" w:color="auto" w:fill="FFFFFF"/>
        <w:spacing w:line="450" w:lineRule="atLeast"/>
        <w:jc w:val="left"/>
        <w:rPr>
          <w:rFonts w:ascii="仿宋" w:eastAsia="仿宋" w:hAnsi="仿宋" w:cs="Arial"/>
          <w:color w:val="333333"/>
          <w:kern w:val="0"/>
          <w:sz w:val="30"/>
          <w:szCs w:val="30"/>
        </w:rPr>
      </w:pPr>
      <w:r w:rsidRPr="007653A4">
        <w:rPr>
          <w:rFonts w:ascii="Arial" w:eastAsia="宋体" w:hAnsi="Arial" w:cs="Arial"/>
          <w:color w:val="333333"/>
          <w:kern w:val="0"/>
          <w:sz w:val="30"/>
          <w:szCs w:val="30"/>
        </w:rPr>
        <w:t xml:space="preserve">　</w:t>
      </w:r>
      <w:r w:rsidRPr="007653A4">
        <w:rPr>
          <w:rFonts w:ascii="Arial" w:eastAsia="宋体" w:hAnsi="Arial" w:cs="Arial"/>
          <w:b/>
          <w:bCs/>
          <w:color w:val="333333"/>
          <w:kern w:val="0"/>
          <w:sz w:val="30"/>
          <w:szCs w:val="30"/>
        </w:rPr>
        <w:t xml:space="preserve">　</w:t>
      </w:r>
      <w:r w:rsidRPr="00542DAF">
        <w:rPr>
          <w:rFonts w:ascii="仿宋" w:eastAsia="仿宋" w:hAnsi="仿宋" w:cs="Arial"/>
          <w:b/>
          <w:bCs/>
          <w:color w:val="333333"/>
          <w:kern w:val="0"/>
          <w:sz w:val="30"/>
          <w:szCs w:val="30"/>
        </w:rPr>
        <w:t>1</w:t>
      </w:r>
      <w:r>
        <w:rPr>
          <w:rFonts w:ascii="仿宋" w:eastAsia="仿宋" w:hAnsi="仿宋" w:cs="Arial" w:hint="eastAsia"/>
          <w:b/>
          <w:bCs/>
          <w:color w:val="333333"/>
          <w:kern w:val="0"/>
          <w:sz w:val="30"/>
          <w:szCs w:val="30"/>
        </w:rPr>
        <w:t>、</w:t>
      </w:r>
      <w:r w:rsidRPr="00542DAF">
        <w:rPr>
          <w:rFonts w:ascii="仿宋" w:eastAsia="仿宋" w:hAnsi="仿宋" w:cs="Arial"/>
          <w:b/>
          <w:bCs/>
          <w:color w:val="333333"/>
          <w:kern w:val="0"/>
          <w:sz w:val="30"/>
          <w:szCs w:val="30"/>
        </w:rPr>
        <w:t>杭州市江干区应急管理局办公室主任贺小罗制发公文机械抄袭问题。</w:t>
      </w:r>
      <w:r w:rsidRPr="00542DAF">
        <w:rPr>
          <w:rFonts w:ascii="仿宋" w:eastAsia="仿宋" w:hAnsi="仿宋" w:cs="Arial"/>
          <w:color w:val="333333"/>
          <w:kern w:val="0"/>
          <w:sz w:val="30"/>
          <w:szCs w:val="30"/>
        </w:rPr>
        <w:t>2018年上半年，时任杭州市江干区安监局办公室主任贺小罗在制定《江干区安全生产监督管理局财务内部控制管理制度》过程中，从网上下载资料作为主要参考，该项制度第二十二条第一款出现“差旅费按照……《丽水市财政局关于市级行政事业单位工作人员差旅费管理的补充通知》(丽财行〔2014〕50号)等规定执行”的明显抄袭内容。同时，该制度的发文未经局分管领导审核，也未经局党组会议讨论。2018年12月，贺小罗受到通报批评处理。</w:t>
      </w:r>
    </w:p>
    <w:p w:rsidR="001F38B7" w:rsidRPr="00542DAF" w:rsidRDefault="001F38B7" w:rsidP="001F38B7">
      <w:pPr>
        <w:widowControl/>
        <w:shd w:val="clear" w:color="auto" w:fill="FFFFFF"/>
        <w:spacing w:line="450" w:lineRule="atLeast"/>
        <w:jc w:val="left"/>
        <w:rPr>
          <w:rFonts w:ascii="仿宋" w:eastAsia="仿宋" w:hAnsi="仿宋" w:cs="Arial"/>
          <w:color w:val="333333"/>
          <w:kern w:val="0"/>
          <w:sz w:val="30"/>
          <w:szCs w:val="30"/>
        </w:rPr>
      </w:pPr>
      <w:r w:rsidRPr="007653A4">
        <w:rPr>
          <w:rFonts w:ascii="Arial" w:eastAsia="宋体" w:hAnsi="Arial" w:cs="Arial"/>
          <w:color w:val="333333"/>
          <w:kern w:val="0"/>
          <w:sz w:val="30"/>
          <w:szCs w:val="30"/>
        </w:rPr>
        <w:t xml:space="preserve">　　</w:t>
      </w:r>
      <w:r w:rsidRPr="00542DAF">
        <w:rPr>
          <w:rFonts w:ascii="仿宋" w:eastAsia="仿宋" w:hAnsi="仿宋" w:cs="Arial"/>
          <w:b/>
          <w:bCs/>
          <w:color w:val="333333"/>
          <w:kern w:val="0"/>
          <w:sz w:val="30"/>
          <w:szCs w:val="30"/>
        </w:rPr>
        <w:t>2、宁波市镇海区司法局原办公室主任毛良富撰写干部考察材料敷衍塞责问题。</w:t>
      </w:r>
      <w:r w:rsidRPr="00542DAF">
        <w:rPr>
          <w:rFonts w:ascii="仿宋" w:eastAsia="仿宋" w:hAnsi="仿宋" w:cs="Arial"/>
          <w:color w:val="333333"/>
          <w:kern w:val="0"/>
          <w:sz w:val="30"/>
          <w:szCs w:val="30"/>
        </w:rPr>
        <w:t>2018年1月，毛良富在撰写5名单位中层干部的考察评价材料时，敷衍塞责、应付交差，5名干部考察评价材料内容一字不差。2018年12月，毛良富受到调整职务处理，被调离办公室主任岗位。</w:t>
      </w:r>
    </w:p>
    <w:p w:rsidR="001F38B7" w:rsidRPr="007653A4" w:rsidRDefault="001F38B7" w:rsidP="001F38B7">
      <w:pPr>
        <w:widowControl/>
        <w:shd w:val="clear" w:color="auto" w:fill="FFFFFF"/>
        <w:spacing w:line="450" w:lineRule="atLeast"/>
        <w:jc w:val="left"/>
        <w:rPr>
          <w:rFonts w:ascii="Arial" w:eastAsia="宋体" w:hAnsi="Arial" w:cs="Arial"/>
          <w:color w:val="333333"/>
          <w:kern w:val="0"/>
          <w:sz w:val="30"/>
          <w:szCs w:val="30"/>
        </w:rPr>
      </w:pPr>
      <w:r w:rsidRPr="007653A4">
        <w:rPr>
          <w:rFonts w:ascii="Arial" w:eastAsia="宋体" w:hAnsi="Arial" w:cs="Arial"/>
          <w:color w:val="333333"/>
          <w:kern w:val="0"/>
          <w:sz w:val="30"/>
          <w:szCs w:val="30"/>
        </w:rPr>
        <w:lastRenderedPageBreak/>
        <w:t xml:space="preserve">　　</w:t>
      </w:r>
      <w:r w:rsidRPr="00542DAF">
        <w:rPr>
          <w:rFonts w:ascii="仿宋" w:eastAsia="仿宋" w:hAnsi="仿宋" w:cs="Arial"/>
          <w:b/>
          <w:bCs/>
          <w:color w:val="333333"/>
          <w:kern w:val="0"/>
          <w:sz w:val="30"/>
          <w:szCs w:val="30"/>
        </w:rPr>
        <w:t>3、乐清市综合行政执法局局长许大凤以会议落实会议、履职不力问题。</w:t>
      </w:r>
      <w:r w:rsidRPr="00542DAF">
        <w:rPr>
          <w:rFonts w:ascii="仿宋" w:eastAsia="仿宋" w:hAnsi="仿宋" w:cs="Arial"/>
          <w:color w:val="333333"/>
          <w:kern w:val="0"/>
          <w:sz w:val="30"/>
          <w:szCs w:val="30"/>
        </w:rPr>
        <w:t>2017年，国土资源部、省国土资源厅两级</w:t>
      </w:r>
      <w:proofErr w:type="gramStart"/>
      <w:r w:rsidRPr="00542DAF">
        <w:rPr>
          <w:rFonts w:ascii="仿宋" w:eastAsia="仿宋" w:hAnsi="仿宋" w:cs="Arial"/>
          <w:color w:val="333333"/>
          <w:kern w:val="0"/>
          <w:sz w:val="30"/>
          <w:szCs w:val="30"/>
        </w:rPr>
        <w:t>卫片执法</w:t>
      </w:r>
      <w:proofErr w:type="gramEnd"/>
      <w:r w:rsidRPr="00542DAF">
        <w:rPr>
          <w:rFonts w:ascii="仿宋" w:eastAsia="仿宋" w:hAnsi="仿宋" w:cs="Arial"/>
          <w:color w:val="333333"/>
          <w:kern w:val="0"/>
          <w:sz w:val="30"/>
          <w:szCs w:val="30"/>
        </w:rPr>
        <w:t>监督检查中，发现乐清市村存在大量违法占用永久基本农田问题。乐清市综合行政执法局收到上级部门交办的反映永久基本农田被占用的问题后，没有引起重视，仅以会议形式进行简单部署，未采取有效措施开展整改落实，也没有对基层单位开展整改情况进行监督指导，导致非法占用基本农田问题未得到及时有效解决，对乐清市造成不良影响。2018年6月，许大凤受到通报批评处理。</w:t>
      </w:r>
    </w:p>
    <w:p w:rsidR="001F38B7" w:rsidRPr="00542DAF" w:rsidRDefault="001F38B7" w:rsidP="001F38B7">
      <w:pPr>
        <w:widowControl/>
        <w:shd w:val="clear" w:color="auto" w:fill="FFFFFF"/>
        <w:spacing w:line="450" w:lineRule="atLeast"/>
        <w:jc w:val="left"/>
        <w:rPr>
          <w:rFonts w:ascii="仿宋" w:eastAsia="仿宋" w:hAnsi="仿宋" w:cs="Arial"/>
          <w:color w:val="333333"/>
          <w:kern w:val="0"/>
          <w:sz w:val="30"/>
          <w:szCs w:val="30"/>
        </w:rPr>
      </w:pPr>
      <w:r w:rsidRPr="007653A4">
        <w:rPr>
          <w:rFonts w:ascii="Arial" w:eastAsia="宋体" w:hAnsi="Arial" w:cs="Arial"/>
          <w:color w:val="333333"/>
          <w:kern w:val="0"/>
          <w:sz w:val="30"/>
          <w:szCs w:val="30"/>
        </w:rPr>
        <w:t xml:space="preserve">　</w:t>
      </w:r>
      <w:r w:rsidRPr="007653A4">
        <w:rPr>
          <w:rFonts w:ascii="Arial" w:eastAsia="宋体" w:hAnsi="Arial" w:cs="Arial"/>
          <w:b/>
          <w:bCs/>
          <w:color w:val="333333"/>
          <w:kern w:val="0"/>
          <w:sz w:val="30"/>
          <w:szCs w:val="30"/>
        </w:rPr>
        <w:t xml:space="preserve">　</w:t>
      </w:r>
      <w:r w:rsidRPr="00542DAF">
        <w:rPr>
          <w:rFonts w:ascii="仿宋" w:eastAsia="仿宋" w:hAnsi="仿宋" w:cs="Arial"/>
          <w:b/>
          <w:bCs/>
          <w:color w:val="333333"/>
          <w:kern w:val="0"/>
          <w:sz w:val="30"/>
          <w:szCs w:val="30"/>
        </w:rPr>
        <w:t>4、舟山市普陀区残疾人联合会制定出台制度照搬照抄问题。</w:t>
      </w:r>
      <w:r w:rsidRPr="00542DAF">
        <w:rPr>
          <w:rFonts w:ascii="仿宋" w:eastAsia="仿宋" w:hAnsi="仿宋" w:cs="Arial"/>
          <w:color w:val="333333"/>
          <w:kern w:val="0"/>
          <w:sz w:val="30"/>
          <w:szCs w:val="30"/>
        </w:rPr>
        <w:t>2016年8月，普陀区残联为应付检查考核，制定出台《舟山市普陀区残疾人联合会机关工作规章制度》(</w:t>
      </w:r>
      <w:proofErr w:type="gramStart"/>
      <w:r w:rsidRPr="00542DAF">
        <w:rPr>
          <w:rFonts w:ascii="仿宋" w:eastAsia="仿宋" w:hAnsi="仿宋" w:cs="Arial"/>
          <w:color w:val="333333"/>
          <w:kern w:val="0"/>
          <w:sz w:val="30"/>
          <w:szCs w:val="30"/>
        </w:rPr>
        <w:t>舟普残[</w:t>
      </w:r>
      <w:proofErr w:type="gramEnd"/>
      <w:r w:rsidRPr="00542DAF">
        <w:rPr>
          <w:rFonts w:ascii="仿宋" w:eastAsia="仿宋" w:hAnsi="仿宋" w:cs="Arial"/>
          <w:color w:val="333333"/>
          <w:kern w:val="0"/>
          <w:sz w:val="30"/>
          <w:szCs w:val="30"/>
        </w:rPr>
        <w:t>2016]48号)，作为机关内部工作规范性制度汇编，其中部分内容照搬照抄，“依葫芦画瓢”，明显套用网络资料及其他部门制度内容，与残联实际工作不符，接待制度中还存在明显有悖于中央八项规定精神的表述。同时，该制度的起草和审核违反议事规则和公文制发程序，成文以后长期束之高阁、成为摆设，执行起来另搞一套。2018年10月，区残联被责令限期整改，区残联执行理事会原党组书记、理事长徐方恩受到诫勉谈话处理。</w:t>
      </w:r>
    </w:p>
    <w:p w:rsidR="001F38B7" w:rsidRPr="00542DAF" w:rsidRDefault="001F38B7" w:rsidP="001F38B7">
      <w:pPr>
        <w:widowControl/>
        <w:shd w:val="clear" w:color="auto" w:fill="FFFFFF"/>
        <w:spacing w:line="450" w:lineRule="atLeast"/>
        <w:jc w:val="left"/>
        <w:rPr>
          <w:rFonts w:ascii="仿宋" w:eastAsia="仿宋" w:hAnsi="仿宋" w:cs="Arial"/>
          <w:color w:val="333333"/>
          <w:kern w:val="0"/>
          <w:sz w:val="30"/>
          <w:szCs w:val="30"/>
        </w:rPr>
      </w:pPr>
      <w:r w:rsidRPr="00542DAF">
        <w:rPr>
          <w:rFonts w:ascii="仿宋" w:eastAsia="仿宋" w:hAnsi="仿宋" w:cs="Arial"/>
          <w:color w:val="333333"/>
          <w:kern w:val="0"/>
          <w:sz w:val="30"/>
          <w:szCs w:val="30"/>
        </w:rPr>
        <w:t xml:space="preserve">　　通报指出，上述4起形式主义问题，有的文风不实，写材料、制定文件东拼西凑、照搬照抄；有的会风不正，以会议代替落实，对待工作不用心、不尽力；有的作风拖沓，慵懒</w:t>
      </w:r>
      <w:proofErr w:type="gramStart"/>
      <w:r w:rsidRPr="00542DAF">
        <w:rPr>
          <w:rFonts w:ascii="仿宋" w:eastAsia="仿宋" w:hAnsi="仿宋" w:cs="Arial"/>
          <w:color w:val="333333"/>
          <w:kern w:val="0"/>
          <w:sz w:val="30"/>
          <w:szCs w:val="30"/>
        </w:rPr>
        <w:t>怠</w:t>
      </w:r>
      <w:proofErr w:type="gramEnd"/>
      <w:r w:rsidRPr="00542DAF">
        <w:rPr>
          <w:rFonts w:ascii="仿宋" w:eastAsia="仿宋" w:hAnsi="仿宋" w:cs="Arial"/>
          <w:color w:val="333333"/>
          <w:kern w:val="0"/>
          <w:sz w:val="30"/>
          <w:szCs w:val="30"/>
        </w:rPr>
        <w:t>政，不尚实干、</w:t>
      </w:r>
      <w:r w:rsidRPr="00542DAF">
        <w:rPr>
          <w:rFonts w:ascii="仿宋" w:eastAsia="仿宋" w:hAnsi="仿宋" w:cs="Arial"/>
          <w:color w:val="333333"/>
          <w:kern w:val="0"/>
          <w:sz w:val="30"/>
          <w:szCs w:val="30"/>
        </w:rPr>
        <w:lastRenderedPageBreak/>
        <w:t>不求实效。这些问题反映出当前有些部门重形式轻内容、</w:t>
      </w:r>
      <w:proofErr w:type="gramStart"/>
      <w:r w:rsidRPr="00542DAF">
        <w:rPr>
          <w:rFonts w:ascii="仿宋" w:eastAsia="仿宋" w:hAnsi="仿宋" w:cs="Arial"/>
          <w:color w:val="333333"/>
          <w:kern w:val="0"/>
          <w:sz w:val="30"/>
          <w:szCs w:val="30"/>
        </w:rPr>
        <w:t>重部署轻</w:t>
      </w:r>
      <w:proofErr w:type="gramEnd"/>
      <w:r w:rsidRPr="00542DAF">
        <w:rPr>
          <w:rFonts w:ascii="仿宋" w:eastAsia="仿宋" w:hAnsi="仿宋" w:cs="Arial"/>
          <w:color w:val="333333"/>
          <w:kern w:val="0"/>
          <w:sz w:val="30"/>
          <w:szCs w:val="30"/>
        </w:rPr>
        <w:t>落实、重口号轻行动等形式主义顽</w:t>
      </w:r>
      <w:proofErr w:type="gramStart"/>
      <w:r w:rsidRPr="00542DAF">
        <w:rPr>
          <w:rFonts w:ascii="仿宋" w:eastAsia="仿宋" w:hAnsi="仿宋" w:cs="Arial"/>
          <w:color w:val="333333"/>
          <w:kern w:val="0"/>
          <w:sz w:val="30"/>
          <w:szCs w:val="30"/>
        </w:rPr>
        <w:t>瘴</w:t>
      </w:r>
      <w:proofErr w:type="gramEnd"/>
      <w:r w:rsidRPr="00542DAF">
        <w:rPr>
          <w:rFonts w:ascii="仿宋" w:eastAsia="仿宋" w:hAnsi="仿宋" w:cs="Arial"/>
          <w:color w:val="333333"/>
          <w:kern w:val="0"/>
          <w:sz w:val="30"/>
          <w:szCs w:val="30"/>
        </w:rPr>
        <w:t>痼疾仍然存在，广大党员干部应当引以为戒，自觉对照检查、举一反三。</w:t>
      </w:r>
    </w:p>
    <w:p w:rsidR="006667AD" w:rsidRPr="001F38B7" w:rsidRDefault="001F38B7" w:rsidP="001F38B7">
      <w:pPr>
        <w:widowControl/>
        <w:shd w:val="clear" w:color="auto" w:fill="FFFFFF"/>
        <w:spacing w:line="450" w:lineRule="atLeast"/>
        <w:jc w:val="left"/>
        <w:rPr>
          <w:rFonts w:ascii="Arial" w:eastAsia="宋体" w:hAnsi="Arial" w:cs="Arial"/>
          <w:color w:val="333333"/>
          <w:kern w:val="0"/>
          <w:sz w:val="30"/>
          <w:szCs w:val="30"/>
        </w:rPr>
      </w:pPr>
      <w:r w:rsidRPr="00542DAF">
        <w:rPr>
          <w:rFonts w:ascii="仿宋" w:eastAsia="仿宋" w:hAnsi="仿宋" w:cs="Arial"/>
          <w:color w:val="333333"/>
          <w:kern w:val="0"/>
          <w:sz w:val="30"/>
          <w:szCs w:val="30"/>
        </w:rPr>
        <w:t xml:space="preserve">　　通报强调，形式主义反映的是责任心缺失、政绩观错位，不仅贻误工作，更从根子上背离党的宗旨。各级各部门要从讲政治的高度来审视，进一步提高政治站位，深入学习贯彻习近平总书记关于反对形式主义、官僚主义的一系列重要论述和重要指示精神，把思想和行动统一到党中央关于作风建设的要求上来，认真履行主体责任，切实抓好党中央《关于解决形式主义突出问题为基层减负的通知》和省委《关于整治形式主义突出问题切实减轻基层负担的若干意见》的贯彻落实，对本地区本部门存在困扰基层的形式主义问题进行大排查，从思想观念、工作作风和领导方法上找根源、抓整改。各级纪检监察机关要按照省纪委《关于做好“基层减负年”监督执纪问责工作的意见》的部署要求，把解决形式主义突出问题、为基层减负纳入日常监督、巡视巡察、主体责任检查考核、政治生态分析评估的重要内容，做实做细监督工作。要进一步畅通举报渠道，创新监督方式，充分运用监督执纪“四种形态”，抓早抓小，精准量纪。要坚持严管和厚爱结合，把握好“三个区分开来”要求，实事求是、依规依纪依法</w:t>
      </w:r>
      <w:proofErr w:type="gramStart"/>
      <w:r w:rsidRPr="00542DAF">
        <w:rPr>
          <w:rFonts w:ascii="仿宋" w:eastAsia="仿宋" w:hAnsi="仿宋" w:cs="Arial"/>
          <w:color w:val="333333"/>
          <w:kern w:val="0"/>
          <w:sz w:val="30"/>
          <w:szCs w:val="30"/>
        </w:rPr>
        <w:t>开展问</w:t>
      </w:r>
      <w:proofErr w:type="gramEnd"/>
      <w:r w:rsidRPr="00542DAF">
        <w:rPr>
          <w:rFonts w:ascii="仿宋" w:eastAsia="仿宋" w:hAnsi="仿宋" w:cs="Arial"/>
          <w:color w:val="333333"/>
          <w:kern w:val="0"/>
          <w:sz w:val="30"/>
          <w:szCs w:val="30"/>
        </w:rPr>
        <w:t>责工作，真正</w:t>
      </w:r>
      <w:proofErr w:type="gramStart"/>
      <w:r w:rsidRPr="00542DAF">
        <w:rPr>
          <w:rFonts w:ascii="仿宋" w:eastAsia="仿宋" w:hAnsi="仿宋" w:cs="Arial"/>
          <w:color w:val="333333"/>
          <w:kern w:val="0"/>
          <w:sz w:val="30"/>
          <w:szCs w:val="30"/>
        </w:rPr>
        <w:t>做到问</w:t>
      </w:r>
      <w:proofErr w:type="gramEnd"/>
      <w:r w:rsidRPr="00542DAF">
        <w:rPr>
          <w:rFonts w:ascii="仿宋" w:eastAsia="仿宋" w:hAnsi="仿宋" w:cs="Arial"/>
          <w:color w:val="333333"/>
          <w:kern w:val="0"/>
          <w:sz w:val="30"/>
          <w:szCs w:val="30"/>
        </w:rPr>
        <w:t>责一个、警醒一片。要发挥表率作用，在解决形式主义突出问题、为基层减负工作中先行动、作表率，用良好的作风推动和保障“基层减负年”各项要求落地见效。</w:t>
      </w:r>
      <w:bookmarkStart w:id="0" w:name="_GoBack"/>
      <w:bookmarkEnd w:id="0"/>
    </w:p>
    <w:sectPr w:rsidR="006667AD" w:rsidRPr="001F3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26"/>
    <w:rsid w:val="000751DE"/>
    <w:rsid w:val="001F38B7"/>
    <w:rsid w:val="006667AD"/>
    <w:rsid w:val="00FB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D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D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2019-04-29T06:08:00Z</dcterms:created>
  <dcterms:modified xsi:type="dcterms:W3CDTF">2019-04-29T06:08:00Z</dcterms:modified>
</cp:coreProperties>
</file>