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生命与环境科学学院搬迁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cs="宋体"/>
          <w:b/>
          <w:bCs/>
          <w:sz w:val="44"/>
          <w:szCs w:val="44"/>
        </w:rPr>
        <w:t>号通知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70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根据</w:t>
      </w:r>
      <w:r>
        <w:rPr>
          <w:rFonts w:hint="eastAsia" w:hAnsi="宋体" w:cs="宋体"/>
          <w:bCs/>
          <w:sz w:val="28"/>
          <w:szCs w:val="28"/>
          <w:lang w:eastAsia="zh-CN"/>
        </w:rPr>
        <w:t>学院搬迁总体安排，结合目前建设实际情况，现发布学院搬迁</w:t>
      </w:r>
      <w:r>
        <w:rPr>
          <w:rFonts w:hint="eastAsia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hAnsi="宋体" w:cs="宋体"/>
          <w:bCs/>
          <w:sz w:val="28"/>
          <w:szCs w:val="28"/>
          <w:lang w:eastAsia="zh-CN"/>
        </w:rPr>
        <w:t>号通知如下。</w:t>
      </w:r>
    </w:p>
    <w:p>
      <w:pPr>
        <w:adjustRightInd w:val="0"/>
        <w:snapToGrid w:val="0"/>
        <w:spacing w:line="360" w:lineRule="auto"/>
        <w:rPr>
          <w:rFonts w:hint="eastAsia" w:hAnsi="宋体" w:eastAsia="宋体"/>
          <w:b/>
          <w:bCs/>
          <w:sz w:val="28"/>
          <w:szCs w:val="28"/>
          <w:lang w:eastAsia="zh-CN"/>
        </w:rPr>
      </w:pPr>
      <w:r>
        <w:rPr>
          <w:rFonts w:hint="eastAsia" w:hAnsi="宋体" w:cs="宋体"/>
          <w:b/>
          <w:bCs/>
          <w:sz w:val="28"/>
          <w:szCs w:val="28"/>
        </w:rPr>
        <w:t>一、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目前建设进展</w:t>
      </w:r>
    </w:p>
    <w:p>
      <w:pPr>
        <w:adjustRightInd w:val="0"/>
        <w:snapToGrid w:val="0"/>
        <w:spacing w:line="360" w:lineRule="auto"/>
        <w:ind w:firstLine="555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1、</w:t>
      </w:r>
      <w:r>
        <w:rPr>
          <w:rFonts w:hint="eastAsia" w:hAnsi="宋体" w:cs="宋体"/>
          <w:sz w:val="28"/>
          <w:szCs w:val="28"/>
          <w:lang w:eastAsia="zh-CN"/>
        </w:rPr>
        <w:t>学院搬迁小组就实验台桌利旧事项与承建单位（国马斯尔福公司）进行了多次沟通协调。经各方努力，斯尔福公司在对全院建设事项进行全面梳理是基础上，承诺14、15、16楼原合同范围内的实验台桌均为新建（不含办公实木家具的利旧）。该举措可保障全院师生教学科研工作在搬迁过程中无缝衔接。</w:t>
      </w:r>
    </w:p>
    <w:p>
      <w:pPr>
        <w:adjustRightInd w:val="0"/>
        <w:snapToGrid w:val="0"/>
        <w:spacing w:line="360" w:lineRule="auto"/>
        <w:ind w:firstLine="555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2、9月20日前可完成以下实验室和办公室的基本建设内容，初步具备搬迁条件。</w:t>
      </w:r>
    </w:p>
    <w:tbl>
      <w:tblPr>
        <w:tblStyle w:val="8"/>
        <w:tblW w:w="96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344"/>
        <w:gridCol w:w="2664"/>
        <w:gridCol w:w="1809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仓前公管房号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原房间号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通知发出日期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完工日期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15-601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a604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邱猛生课题组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15-603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a603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食品科研课题组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15-604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a602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食品科研课题组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15-608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a613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邱猛生课题组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15-610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a612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邱猛生课题组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15-613/15-612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a606a607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邱猛生课题组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15-707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a702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董鸣课题组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15-708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a701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董鸣课题组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15-717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a713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董鸣课题组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16-304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b303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徐茂军课题组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16-307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b313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王慧中课题组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2019.8.9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16-310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b310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徐茂军课题组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16-312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b308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王慧中课题组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16-312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b308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王慧中课题组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2019.6.27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</w:tr>
    </w:tbl>
    <w:p>
      <w:pPr>
        <w:adjustRightInd w:val="0"/>
        <w:snapToGrid w:val="0"/>
        <w:spacing w:line="360" w:lineRule="auto"/>
        <w:ind w:firstLine="555"/>
        <w:rPr>
          <w:rFonts w:hint="default" w:hAnsi="宋体" w:cs="宋体"/>
          <w:sz w:val="28"/>
          <w:szCs w:val="28"/>
          <w:lang w:val="en-US"/>
        </w:rPr>
      </w:pPr>
    </w:p>
    <w:p>
      <w:pPr>
        <w:adjustRightInd w:val="0"/>
        <w:snapToGrid w:val="0"/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二、</w:t>
      </w:r>
      <w:r>
        <w:rPr>
          <w:rFonts w:hint="eastAsia" w:hAnsi="宋体" w:cs="宋体"/>
          <w:b/>
          <w:sz w:val="28"/>
          <w:szCs w:val="28"/>
          <w:lang w:eastAsia="zh-CN"/>
        </w:rPr>
        <w:t>第</w:t>
      </w:r>
      <w:r>
        <w:rPr>
          <w:rFonts w:hint="eastAsia" w:hAnsi="宋体" w:cs="宋体"/>
          <w:b/>
          <w:sz w:val="28"/>
          <w:szCs w:val="28"/>
          <w:lang w:val="en-US" w:eastAsia="zh-CN"/>
        </w:rPr>
        <w:t>2批次搬迁征集报名工作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定于9月21-25日开展第2批次搬迁工作。</w:t>
      </w:r>
      <w:r>
        <w:rPr>
          <w:rFonts w:hint="eastAsia" w:hAnsi="宋体" w:cs="宋体"/>
          <w:bCs/>
          <w:color w:val="auto"/>
          <w:sz w:val="28"/>
          <w:szCs w:val="28"/>
          <w:u w:val="none"/>
          <w:lang w:val="en-US" w:eastAsia="zh-CN"/>
        </w:rPr>
        <w:t>此次搬迁内容包括实验耗材（非化学试剂）、普通仪器设备（含大体积、较重的普通仪器设备）。化学试剂将由实验室处在10月份安排一次统一搬迁。大型仪器搬迁将视仪器摆放空间的建设情况随时启动。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建议报名的课题组和教师有：1）9月20日前基本建设能完工涉及的课题组和教师；2）办公室内家具为实木家具利旧或自行购置的课题组和教师；3）愿意提前搬迁至仓前临时存放的课题组和教师；4）需要在仓前开展实验教学工作的教师。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请各位教职工仔细阅读</w:t>
      </w:r>
      <w:r>
        <w:rPr>
          <w:rFonts w:hint="eastAsia" w:hAnsi="宋体" w:cs="宋体"/>
          <w:bCs/>
          <w:sz w:val="28"/>
          <w:szCs w:val="28"/>
          <w:lang w:eastAsia="zh-CN"/>
        </w:rPr>
        <w:t>“生命与环境科学学院搬迁</w:t>
      </w:r>
      <w:r>
        <w:rPr>
          <w:rFonts w:hint="eastAsia" w:hAnsi="宋体" w:cs="宋体"/>
          <w:bCs/>
          <w:sz w:val="28"/>
          <w:szCs w:val="28"/>
          <w:lang w:val="en-US" w:eastAsia="zh-CN"/>
        </w:rPr>
        <w:t>2</w:t>
      </w:r>
      <w:r>
        <w:rPr>
          <w:rFonts w:hint="eastAsia" w:hAnsi="宋体" w:cs="宋体"/>
          <w:bCs/>
          <w:sz w:val="28"/>
          <w:szCs w:val="28"/>
          <w:lang w:eastAsia="zh-CN"/>
        </w:rPr>
        <w:t>号通知”，综合考虑科研进度、科研需求以及目前的建设状况，并于</w:t>
      </w:r>
      <w:r>
        <w:rPr>
          <w:rFonts w:hint="eastAsia" w:hAnsi="宋体" w:cs="宋体"/>
          <w:bCs/>
          <w:sz w:val="28"/>
          <w:szCs w:val="28"/>
          <w:lang w:val="en-US" w:eastAsia="zh-CN"/>
        </w:rPr>
        <w:t>9月17日下午16点前，填写“附件1 生科院2号搬迁物品统计</w:t>
      </w:r>
      <w:r>
        <w:rPr>
          <w:rFonts w:hint="eastAsia" w:hAnsi="宋体" w:cs="宋体"/>
          <w:bCs/>
          <w:color w:val="auto"/>
          <w:sz w:val="28"/>
          <w:szCs w:val="28"/>
          <w:u w:val="none"/>
          <w:lang w:val="en-US" w:eastAsia="zh-CN"/>
        </w:rPr>
        <w:t>.xls”以及下沙和仓前的搬迁联络人信息，发送至学院搬迁小组（倪伟敏，13372569670@189.cn）。</w:t>
      </w:r>
    </w:p>
    <w:p>
      <w:pPr>
        <w:adjustRightInd w:val="0"/>
        <w:snapToGrid w:val="0"/>
        <w:spacing w:line="360" w:lineRule="auto"/>
        <w:ind w:firstLine="570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bCs/>
          <w:sz w:val="28"/>
          <w:szCs w:val="28"/>
          <w:lang w:val="en-US" w:eastAsia="zh-CN"/>
        </w:rPr>
        <w:t>学院将根据报名情况，于9月18日公布第2批搬迁实施方案，将搬迁工作</w:t>
      </w:r>
      <w:bookmarkStart w:id="0" w:name="_GoBack"/>
      <w:bookmarkEnd w:id="0"/>
      <w:r>
        <w:rPr>
          <w:rFonts w:hint="eastAsia" w:hAnsi="宋体" w:cs="宋体"/>
          <w:bCs/>
          <w:sz w:val="28"/>
          <w:szCs w:val="28"/>
          <w:lang w:val="en-US" w:eastAsia="zh-CN"/>
        </w:rPr>
        <w:t>落实到人。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生命与环境科学学院</w:t>
      </w:r>
    </w:p>
    <w:p>
      <w:pPr>
        <w:adjustRightInd w:val="0"/>
        <w:snapToGrid w:val="0"/>
        <w:spacing w:line="360" w:lineRule="auto"/>
        <w:jc w:val="right"/>
        <w:rPr>
          <w:rFonts w:cs="宋体"/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 w:cs="宋体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right"/>
        <w:rPr>
          <w:rFonts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sectPr>
      <w:pgSz w:w="11906" w:h="16838"/>
      <w:pgMar w:top="1134" w:right="1134" w:bottom="102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?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5578"/>
    <w:rsid w:val="1AE81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16"/>
      <w:szCs w:val="16"/>
    </w:rPr>
  </w:style>
  <w:style w:type="character" w:customStyle="1" w:styleId="13">
    <w:name w:val="font01"/>
    <w:basedOn w:val="10"/>
    <w:qFormat/>
    <w:uiPriority w:val="99"/>
    <w:rPr>
      <w:rFonts w:ascii="??" w:hAnsi="??" w:cs="??"/>
      <w:color w:val="000000"/>
      <w:sz w:val="22"/>
      <w:szCs w:val="22"/>
      <w:u w:val="non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szCs w:val="21"/>
    </w:rPr>
  </w:style>
  <w:style w:type="character" w:customStyle="1" w:styleId="17">
    <w:name w:val="批注文字 Char"/>
    <w:basedOn w:val="10"/>
    <w:link w:val="2"/>
    <w:semiHidden/>
    <w:qFormat/>
    <w:uiPriority w:val="99"/>
    <w:rPr>
      <w:sz w:val="20"/>
      <w:szCs w:val="20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sz w:val="20"/>
      <w:szCs w:val="20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0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8</Pages>
  <Words>840</Words>
  <Characters>4788</Characters>
  <Lines>39</Lines>
  <Paragraphs>11</Paragraphs>
  <TotalTime>2</TotalTime>
  <ScaleCrop>false</ScaleCrop>
  <LinksUpToDate>false</LinksUpToDate>
  <CharactersWithSpaces>5617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2019-07-17T14:07:00Z</dcterms:created>
  <dc:creator>Win7w</dc:creator>
  <cp:lastModifiedBy>木拿艺</cp:lastModifiedBy>
  <cp:lastPrinted>2019-07-17T09:30:00Z</cp:lastPrinted>
  <dcterms:modified xsi:type="dcterms:W3CDTF">2019-09-12T23:33:11Z</dcterms:modified>
  <dc:title>生科院搬迁计划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