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E7" w:rsidRPr="00E03BE7" w:rsidRDefault="00E03BE7" w:rsidP="00E03BE7">
      <w:pPr>
        <w:pStyle w:val="1"/>
        <w:shd w:val="clear" w:color="auto" w:fill="FFFFFF"/>
        <w:spacing w:before="0" w:after="0" w:line="440" w:lineRule="atLeast"/>
        <w:jc w:val="center"/>
        <w:rPr>
          <w:rFonts w:asciiTheme="minorEastAsia" w:hAnsiTheme="minorEastAsia" w:cs="宋体"/>
          <w:b w:val="0"/>
          <w:bCs w:val="0"/>
          <w:color w:val="0585D0"/>
          <w:kern w:val="36"/>
          <w:sz w:val="39"/>
          <w:szCs w:val="39"/>
        </w:rPr>
      </w:pPr>
      <w:r w:rsidRPr="00E03BE7">
        <w:rPr>
          <w:rFonts w:asciiTheme="minorEastAsia" w:hAnsiTheme="minorEastAsia" w:hint="eastAsia"/>
          <w:b w:val="0"/>
          <w:bCs w:val="0"/>
          <w:color w:val="0585D0"/>
          <w:sz w:val="39"/>
          <w:szCs w:val="39"/>
        </w:rPr>
        <w:t>关于开展2021-2022学年第二学期试卷（考试归档材料）专项检查工作的通知</w:t>
      </w:r>
    </w:p>
    <w:p w:rsidR="00E03BE7" w:rsidRDefault="00E03BE7" w:rsidP="00E03BE7">
      <w:pPr>
        <w:shd w:val="clear" w:color="auto" w:fill="FFFFFF"/>
        <w:spacing w:line="405" w:lineRule="atLeast"/>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来源 : 教务处     作者 : 教务科     时间 : 2022-10-26    访问量 : 125</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各学院：</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为进一步加强教学质量监控，规范考试及考试归档材料管理，提升档案管理质量，学校决定开展2021-2022学年第二学期试卷（考试归档材料）专项检查工作（以下简称试卷检查）。现将有关事项通知如下：</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w:t>
      </w:r>
      <w:r>
        <w:rPr>
          <w:rFonts w:ascii="黑体" w:eastAsia="黑体" w:hAnsi="黑体" w:hint="eastAsia"/>
          <w:color w:val="000000"/>
        </w:rPr>
        <w:t>一、检查范围与重点</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1.检查范围：2021-2022学年第二学期本科生课程考试归档材料。包括试卷A、B卷及其参考答案和评分标准、考试命题审定表、试卷质量分析表、学生答卷、成绩登记表、考场情况登记表、教师教学工作记录本等。非卷面考核的课程，还应提供如实验报告或记录、论文、调研报告、作品、录音或录像等考核材料。</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2.检查重点：检查试卷A、B卷及近三年试卷的重复率；试卷格式与批阅是否规范，评分、统分有无差错；试卷质量分析是否客观、具体、有针对性；平时成绩构成是否明确,过程记录是否详实；考试归档材料是否规范和完整等。</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w:t>
      </w:r>
      <w:r>
        <w:rPr>
          <w:rFonts w:ascii="黑体" w:eastAsia="黑体" w:hAnsi="黑体" w:hint="eastAsia"/>
          <w:color w:val="000000"/>
        </w:rPr>
        <w:t>二、检查形式及时间安排</w:t>
      </w:r>
      <w:bookmarkStart w:id="0" w:name="_GoBack"/>
      <w:bookmarkEnd w:id="0"/>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本次专项检查工作将继续采用学院自查与学校检查相结合的方式进行。</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1.学院自查自查及整改（11月1日前完成）</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各学院根据《杭州师范大学考试管理规定》及专项检查相关指标，对试题命制、试卷批阅、过程考核、试卷质量分析、归档材料等情况进行全面自查。自查工作由分管教学副院长负责，可采取教师自查、教师互查、专业交叉互查、学院组建专家督导组检查等多种方式进行，务求每份试卷检查到位。检查情况填写在《杭州师范大学试卷检查记录表》（附件1-1卷面、附件1-2非卷面）中，记录表由各学院教务科留存保管。</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自查工作结束后，请各学院认真撰写《试卷检查自查小结表》（附件2）在11月1日之前将纸质稿、电子稿上报教务处教务科，内容包括学院试卷自查组织情况、自查覆盖面、问题分析、整改措施及成效等。各学院要对自查中发现的问题及时进行整改和复查。同时注意收集教师命题、阅卷、考试质量分析、学院考试管理等方面的优秀案例或不足之处，可在教职工大会、教学研讨活动中进行分享，对发现的问题，在今后考试工作中加以完善和改进。</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2.学校检查（11月1日-11月11日）</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学校将组织由学校教学督导、各学院教学院长及管理人员、教务处等人员组成专项检查组，在规定时段到达各学院对所有归档材料开展检查（具体安排另行通知）。检查内容主要包括以下两部分：</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lastRenderedPageBreak/>
        <w:t>  （1）检查学院自查开展情况，包括自查组织情况、自查覆盖情况、问题整改情况等；</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（2）对照检查重点，对2021-2022学年第二学期课程考试归档材料开展检查（检查清单另行通知）。如检查中发现试卷存在问题且未进行整改的，将按照学校相关规定处理。</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请各学院在检查当天准备好教学大纲、《试卷检查自查小结表》、目录中对应课程《试卷检查自查记录表》及所有归档材料备查。</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w:t>
      </w:r>
      <w:r>
        <w:rPr>
          <w:rFonts w:ascii="黑体" w:eastAsia="黑体" w:hAnsi="黑体" w:hint="eastAsia"/>
          <w:color w:val="000000"/>
        </w:rPr>
        <w:t>三、相关要求</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考试是课程教学的重要组成部分，也是教学质量监控的重要手段，试卷及相关归档材料是考察学校教学及教学管理水平、教学质量和教学效果的重要依据。各学院要高度重视、认真做好专项检查工作，对检查过程中发现的问题认真分析研究，采取有效措施加以完善和改进，切实提升教学质量。试卷检查情况将纳入学院教学工作绩效考评。</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未尽事宜，请联系教务处教务科叶老师，联系电话：0571-28861529。</w:t>
      </w:r>
    </w:p>
    <w:p w:rsidR="00E03BE7" w:rsidRDefault="00E03BE7" w:rsidP="00E03BE7">
      <w:pPr>
        <w:pStyle w:val="a6"/>
        <w:shd w:val="clear" w:color="auto" w:fill="FFFFFF"/>
        <w:spacing w:before="0" w:beforeAutospacing="0" w:after="0" w:afterAutospacing="0" w:line="375" w:lineRule="atLeast"/>
        <w:rPr>
          <w:rFonts w:hint="eastAsia"/>
          <w:color w:val="000000"/>
        </w:rPr>
      </w:pPr>
      <w:r>
        <w:rPr>
          <w:rFonts w:hint="eastAsia"/>
          <w:color w:val="000000"/>
        </w:rPr>
        <w:t>  附件：</w:t>
      </w:r>
    </w:p>
    <w:p w:rsidR="00E03BE7" w:rsidRDefault="00E03BE7" w:rsidP="00E03BE7">
      <w:pPr>
        <w:pStyle w:val="a6"/>
        <w:shd w:val="clear" w:color="auto" w:fill="FFFFFF"/>
        <w:spacing w:before="0" w:beforeAutospacing="0" w:after="0" w:afterAutospacing="0" w:line="375" w:lineRule="atLeast"/>
        <w:rPr>
          <w:rFonts w:hint="eastAsia"/>
          <w:color w:val="000000"/>
        </w:rPr>
      </w:pPr>
      <w:hyperlink r:id="rId7" w:tgtFrame="_blank" w:tooltip="附件1-1：杭州师范大学试卷检查记录表（卷面考核）" w:history="1">
        <w:r>
          <w:rPr>
            <w:rStyle w:val="a8"/>
            <w:rFonts w:hint="eastAsia"/>
            <w:color w:val="333333"/>
          </w:rPr>
          <w:t>附件1-1：杭州师范大学试卷检查记录表（卷面考核）</w:t>
        </w:r>
      </w:hyperlink>
    </w:p>
    <w:p w:rsidR="00E03BE7" w:rsidRDefault="00E03BE7" w:rsidP="00E03BE7">
      <w:pPr>
        <w:pStyle w:val="a6"/>
        <w:shd w:val="clear" w:color="auto" w:fill="FFFFFF"/>
        <w:spacing w:before="0" w:beforeAutospacing="0" w:after="0" w:afterAutospacing="0" w:line="375" w:lineRule="atLeast"/>
        <w:rPr>
          <w:rFonts w:ascii="微软雅黑" w:eastAsia="微软雅黑" w:hAnsi="微软雅黑" w:hint="eastAsia"/>
          <w:color w:val="000000"/>
          <w:sz w:val="18"/>
          <w:szCs w:val="18"/>
        </w:rPr>
      </w:pPr>
      <w:hyperlink r:id="rId8" w:tgtFrame="_blank" w:tooltip="附件1-2：杭州师范大学试卷检查记录表（非卷面考核）" w:history="1">
        <w:r>
          <w:rPr>
            <w:rStyle w:val="a8"/>
            <w:rFonts w:hint="eastAsia"/>
            <w:color w:val="333333"/>
          </w:rPr>
          <w:t>附件1-2：杭州师范大学试卷检查记录表（非卷面考核）</w:t>
        </w:r>
      </w:hyperlink>
    </w:p>
    <w:p w:rsidR="00E03BE7" w:rsidRDefault="00E03BE7" w:rsidP="00E03BE7">
      <w:pPr>
        <w:pStyle w:val="a6"/>
        <w:shd w:val="clear" w:color="auto" w:fill="FFFFFF"/>
        <w:spacing w:before="0" w:beforeAutospacing="0" w:after="0" w:afterAutospacing="0" w:line="375" w:lineRule="atLeast"/>
        <w:rPr>
          <w:rFonts w:ascii="微软雅黑" w:eastAsia="微软雅黑" w:hAnsi="微软雅黑" w:hint="eastAsia"/>
          <w:color w:val="000000"/>
          <w:sz w:val="18"/>
          <w:szCs w:val="18"/>
        </w:rPr>
      </w:pPr>
      <w:hyperlink r:id="rId9" w:tgtFrame="_blank" w:tooltip="附件2：杭州师范大学试卷检查自查小结表" w:history="1">
        <w:r>
          <w:rPr>
            <w:rStyle w:val="a8"/>
            <w:rFonts w:hint="eastAsia"/>
            <w:color w:val="333333"/>
          </w:rPr>
          <w:t>附件2：杭州师范大学试卷检查自查小结表</w:t>
        </w:r>
      </w:hyperlink>
    </w:p>
    <w:p w:rsidR="00E03BE7" w:rsidRDefault="00E03BE7" w:rsidP="00E03BE7">
      <w:pPr>
        <w:pStyle w:val="a6"/>
        <w:shd w:val="clear" w:color="auto" w:fill="FFFFFF"/>
        <w:spacing w:before="0" w:beforeAutospacing="0" w:after="0" w:afterAutospacing="0" w:line="375" w:lineRule="atLeast"/>
        <w:rPr>
          <w:rFonts w:ascii="微软雅黑" w:eastAsia="微软雅黑" w:hAnsi="微软雅黑" w:hint="eastAsia"/>
          <w:color w:val="000000"/>
          <w:sz w:val="18"/>
          <w:szCs w:val="18"/>
        </w:rPr>
      </w:pPr>
    </w:p>
    <w:p w:rsidR="00E03BE7" w:rsidRDefault="00E03BE7" w:rsidP="00E03BE7">
      <w:pPr>
        <w:pStyle w:val="a6"/>
        <w:shd w:val="clear" w:color="auto" w:fill="FFFFFF"/>
        <w:spacing w:before="0" w:beforeAutospacing="0" w:after="0" w:afterAutospacing="0" w:line="375" w:lineRule="atLeast"/>
        <w:rPr>
          <w:rFonts w:ascii="微软雅黑" w:eastAsia="微软雅黑" w:hAnsi="微软雅黑" w:hint="eastAsia"/>
          <w:color w:val="000000"/>
          <w:sz w:val="18"/>
          <w:szCs w:val="18"/>
        </w:rPr>
      </w:pPr>
    </w:p>
    <w:p w:rsidR="00E03BE7" w:rsidRDefault="00E03BE7" w:rsidP="00E03BE7">
      <w:pPr>
        <w:pStyle w:val="a6"/>
        <w:shd w:val="clear" w:color="auto" w:fill="FFFFFF"/>
        <w:spacing w:before="0" w:beforeAutospacing="0" w:after="0" w:afterAutospacing="0" w:line="375" w:lineRule="atLeast"/>
        <w:jc w:val="right"/>
        <w:rPr>
          <w:rFonts w:hint="eastAsia"/>
          <w:color w:val="000000"/>
        </w:rPr>
      </w:pPr>
      <w:r>
        <w:rPr>
          <w:rFonts w:hint="eastAsia"/>
          <w:color w:val="000000"/>
        </w:rPr>
        <w:t>                                                 教务处</w:t>
      </w:r>
    </w:p>
    <w:p w:rsidR="00E03BE7" w:rsidRDefault="00E03BE7" w:rsidP="00E03BE7">
      <w:pPr>
        <w:pStyle w:val="a6"/>
        <w:shd w:val="clear" w:color="auto" w:fill="FFFFFF"/>
        <w:spacing w:before="0" w:beforeAutospacing="0" w:after="0" w:afterAutospacing="0" w:line="375" w:lineRule="atLeast"/>
        <w:jc w:val="right"/>
        <w:rPr>
          <w:rFonts w:hint="eastAsia"/>
          <w:color w:val="000000"/>
        </w:rPr>
      </w:pPr>
      <w:r>
        <w:rPr>
          <w:rFonts w:hint="eastAsia"/>
          <w:color w:val="000000"/>
        </w:rPr>
        <w:t>2022年10月26日</w:t>
      </w:r>
    </w:p>
    <w:p w:rsidR="00723E4A" w:rsidRDefault="00723E4A" w:rsidP="009A18CA">
      <w:pPr>
        <w:pStyle w:val="a6"/>
        <w:shd w:val="clear" w:color="auto" w:fill="FFFFFF"/>
        <w:adjustRightInd w:val="0"/>
        <w:snapToGrid w:val="0"/>
        <w:spacing w:before="0" w:beforeAutospacing="0" w:after="0" w:afterAutospacing="0" w:line="360" w:lineRule="auto"/>
        <w:jc w:val="both"/>
        <w:rPr>
          <w:rFonts w:ascii="仿宋" w:eastAsia="仿宋" w:hAnsi="仿宋"/>
          <w:sz w:val="28"/>
          <w:szCs w:val="28"/>
        </w:rPr>
      </w:pPr>
    </w:p>
    <w:sectPr w:rsidR="00723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94C" w:rsidRDefault="0003394C" w:rsidP="000E4887">
      <w:r>
        <w:separator/>
      </w:r>
    </w:p>
  </w:endnote>
  <w:endnote w:type="continuationSeparator" w:id="0">
    <w:p w:rsidR="0003394C" w:rsidRDefault="0003394C" w:rsidP="000E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94C" w:rsidRDefault="0003394C" w:rsidP="000E4887">
      <w:r>
        <w:separator/>
      </w:r>
    </w:p>
  </w:footnote>
  <w:footnote w:type="continuationSeparator" w:id="0">
    <w:p w:rsidR="0003394C" w:rsidRDefault="0003394C" w:rsidP="000E4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3B"/>
    <w:rsid w:val="0003394C"/>
    <w:rsid w:val="000822A3"/>
    <w:rsid w:val="000E4887"/>
    <w:rsid w:val="00136697"/>
    <w:rsid w:val="00163CA9"/>
    <w:rsid w:val="00171CC2"/>
    <w:rsid w:val="0017674E"/>
    <w:rsid w:val="00196B3B"/>
    <w:rsid w:val="001C7D65"/>
    <w:rsid w:val="001D1B3E"/>
    <w:rsid w:val="001D2DA7"/>
    <w:rsid w:val="00223CB3"/>
    <w:rsid w:val="00237090"/>
    <w:rsid w:val="00264307"/>
    <w:rsid w:val="00267FEB"/>
    <w:rsid w:val="002E5BAA"/>
    <w:rsid w:val="003445FC"/>
    <w:rsid w:val="00352421"/>
    <w:rsid w:val="00494509"/>
    <w:rsid w:val="004C4A11"/>
    <w:rsid w:val="00500812"/>
    <w:rsid w:val="00514F2C"/>
    <w:rsid w:val="005279F0"/>
    <w:rsid w:val="00537D27"/>
    <w:rsid w:val="00555129"/>
    <w:rsid w:val="00560B01"/>
    <w:rsid w:val="005A650E"/>
    <w:rsid w:val="00667491"/>
    <w:rsid w:val="0067735C"/>
    <w:rsid w:val="00693478"/>
    <w:rsid w:val="00723E4A"/>
    <w:rsid w:val="008127AC"/>
    <w:rsid w:val="0088017E"/>
    <w:rsid w:val="008C2009"/>
    <w:rsid w:val="008D5D82"/>
    <w:rsid w:val="008E7478"/>
    <w:rsid w:val="00906B67"/>
    <w:rsid w:val="009A18CA"/>
    <w:rsid w:val="009C2C4B"/>
    <w:rsid w:val="009C437D"/>
    <w:rsid w:val="00A01722"/>
    <w:rsid w:val="00A15B02"/>
    <w:rsid w:val="00A340C9"/>
    <w:rsid w:val="00AD5D53"/>
    <w:rsid w:val="00B309E3"/>
    <w:rsid w:val="00B32D19"/>
    <w:rsid w:val="00B33FA3"/>
    <w:rsid w:val="00B81880"/>
    <w:rsid w:val="00BB1474"/>
    <w:rsid w:val="00BD1100"/>
    <w:rsid w:val="00BD3A27"/>
    <w:rsid w:val="00C4092B"/>
    <w:rsid w:val="00CE6617"/>
    <w:rsid w:val="00D139BF"/>
    <w:rsid w:val="00D64BB5"/>
    <w:rsid w:val="00D67F57"/>
    <w:rsid w:val="00DE04D0"/>
    <w:rsid w:val="00E01DB5"/>
    <w:rsid w:val="00E03BE7"/>
    <w:rsid w:val="00E2106A"/>
    <w:rsid w:val="00E4117D"/>
    <w:rsid w:val="00E52DE2"/>
    <w:rsid w:val="00E94C62"/>
    <w:rsid w:val="00F05294"/>
    <w:rsid w:val="00F07426"/>
    <w:rsid w:val="00F502F4"/>
    <w:rsid w:val="00F738C2"/>
    <w:rsid w:val="00F8176A"/>
    <w:rsid w:val="00F91B0B"/>
    <w:rsid w:val="00F9615C"/>
    <w:rsid w:val="00FE6826"/>
    <w:rsid w:val="16E73A9F"/>
    <w:rsid w:val="30EA72CB"/>
    <w:rsid w:val="37B451C8"/>
    <w:rsid w:val="4B812968"/>
    <w:rsid w:val="68A76B4E"/>
    <w:rsid w:val="7004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47FCC3-108A-459C-A1AB-1A18F051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01DB5"/>
    <w:pPr>
      <w:keepNext/>
      <w:keepLines/>
      <w:spacing w:before="340" w:after="330" w:line="578" w:lineRule="auto"/>
      <w:outlineLvl w:val="0"/>
    </w:pPr>
    <w:rPr>
      <w:b/>
      <w:bCs/>
      <w:kern w:val="44"/>
      <w:sz w:val="44"/>
      <w:szCs w:val="4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Char">
    <w:name w:val="批注框文本 Char"/>
    <w:basedOn w:val="a0"/>
    <w:link w:val="a3"/>
    <w:uiPriority w:val="99"/>
    <w:semiHidden/>
    <w:rPr>
      <w:sz w:val="18"/>
      <w:szCs w:val="18"/>
    </w:rPr>
  </w:style>
  <w:style w:type="character" w:styleId="a8">
    <w:name w:val="Hyperlink"/>
    <w:basedOn w:val="a0"/>
    <w:uiPriority w:val="99"/>
    <w:semiHidden/>
    <w:unhideWhenUsed/>
    <w:rsid w:val="009A18CA"/>
    <w:rPr>
      <w:color w:val="0000FF"/>
      <w:u w:val="single"/>
    </w:rPr>
  </w:style>
  <w:style w:type="character" w:customStyle="1" w:styleId="1Char">
    <w:name w:val="标题 1 Char"/>
    <w:basedOn w:val="a0"/>
    <w:link w:val="1"/>
    <w:uiPriority w:val="9"/>
    <w:rsid w:val="00E01DB5"/>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68730">
      <w:bodyDiv w:val="1"/>
      <w:marLeft w:val="0"/>
      <w:marRight w:val="0"/>
      <w:marTop w:val="0"/>
      <w:marBottom w:val="0"/>
      <w:divBdr>
        <w:top w:val="none" w:sz="0" w:space="0" w:color="auto"/>
        <w:left w:val="none" w:sz="0" w:space="0" w:color="auto"/>
        <w:bottom w:val="none" w:sz="0" w:space="0" w:color="auto"/>
        <w:right w:val="none" w:sz="0" w:space="0" w:color="auto"/>
      </w:divBdr>
    </w:div>
    <w:div w:id="1374110757">
      <w:bodyDiv w:val="1"/>
      <w:marLeft w:val="0"/>
      <w:marRight w:val="0"/>
      <w:marTop w:val="0"/>
      <w:marBottom w:val="0"/>
      <w:divBdr>
        <w:top w:val="none" w:sz="0" w:space="0" w:color="auto"/>
        <w:left w:val="none" w:sz="0" w:space="0" w:color="auto"/>
        <w:bottom w:val="none" w:sz="0" w:space="0" w:color="auto"/>
        <w:right w:val="none" w:sz="0" w:space="0" w:color="auto"/>
      </w:divBdr>
    </w:div>
    <w:div w:id="1563178079">
      <w:bodyDiv w:val="1"/>
      <w:marLeft w:val="0"/>
      <w:marRight w:val="0"/>
      <w:marTop w:val="0"/>
      <w:marBottom w:val="0"/>
      <w:divBdr>
        <w:top w:val="none" w:sz="0" w:space="0" w:color="auto"/>
        <w:left w:val="none" w:sz="0" w:space="0" w:color="auto"/>
        <w:bottom w:val="none" w:sz="0" w:space="0" w:color="auto"/>
        <w:right w:val="none" w:sz="0" w:space="0" w:color="auto"/>
      </w:divBdr>
    </w:div>
    <w:div w:id="1818303635">
      <w:bodyDiv w:val="1"/>
      <w:marLeft w:val="0"/>
      <w:marRight w:val="0"/>
      <w:marTop w:val="0"/>
      <w:marBottom w:val="0"/>
      <w:divBdr>
        <w:top w:val="none" w:sz="0" w:space="0" w:color="auto"/>
        <w:left w:val="none" w:sz="0" w:space="0" w:color="auto"/>
        <w:bottom w:val="none" w:sz="0" w:space="0" w:color="auto"/>
        <w:right w:val="none" w:sz="0" w:space="0" w:color="auto"/>
      </w:divBdr>
      <w:divsChild>
        <w:div w:id="71125968">
          <w:marLeft w:val="0"/>
          <w:marRight w:val="0"/>
          <w:marTop w:val="0"/>
          <w:marBottom w:val="0"/>
          <w:divBdr>
            <w:top w:val="none" w:sz="0" w:space="0" w:color="auto"/>
            <w:left w:val="none" w:sz="0" w:space="0" w:color="auto"/>
            <w:bottom w:val="none" w:sz="0" w:space="0" w:color="auto"/>
            <w:right w:val="none" w:sz="0" w:space="0" w:color="auto"/>
          </w:divBdr>
          <w:divsChild>
            <w:div w:id="309677281">
              <w:marLeft w:val="0"/>
              <w:marRight w:val="0"/>
              <w:marTop w:val="0"/>
              <w:marBottom w:val="0"/>
              <w:divBdr>
                <w:top w:val="none" w:sz="0" w:space="0" w:color="auto"/>
                <w:left w:val="none" w:sz="0" w:space="0" w:color="auto"/>
                <w:bottom w:val="dotted" w:sz="6" w:space="4" w:color="CCCCCC"/>
                <w:right w:val="none" w:sz="0" w:space="0" w:color="auto"/>
              </w:divBdr>
            </w:div>
          </w:divsChild>
        </w:div>
        <w:div w:id="3777517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hznu.edu.cn/upload/resources/file/2022/10/26/7745725.docx" TargetMode="External"/><Relationship Id="rId3" Type="http://schemas.openxmlformats.org/officeDocument/2006/relationships/settings" Target="settings.xml"/><Relationship Id="rId7" Type="http://schemas.openxmlformats.org/officeDocument/2006/relationships/hyperlink" Target="http://jwc.hznu.edu.cn/upload/resources/file/2022/10/26/7745724.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wc.hznu.edu.cn/upload/resources/file/2022/10/26/77457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Company>微软中国</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cp:lastPrinted>2019-03-18T03:27:00Z</cp:lastPrinted>
  <dcterms:created xsi:type="dcterms:W3CDTF">2022-03-28T01:17:00Z</dcterms:created>
  <dcterms:modified xsi:type="dcterms:W3CDTF">2022-10-28T01:04:00Z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