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/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杭州三日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游（不住宿）</w:t>
      </w:r>
    </w:p>
    <w:p>
      <w:r>
        <w:rPr>
          <w:rFonts w:hint="eastAsia" w:ascii="黑体" w:hAnsi="黑体" w:eastAsia="黑体" w:cs="黑体"/>
          <w:b/>
          <w:bCs/>
          <w:sz w:val="24"/>
        </w:rPr>
        <w:t>一、行程方案</w:t>
      </w:r>
    </w:p>
    <w:tbl>
      <w:tblPr>
        <w:tblStyle w:val="15"/>
        <w:tblpPr w:leftFromText="180" w:rightFromText="180" w:vertAnchor="text" w:horzAnchor="page" w:tblpX="1209" w:tblpY="151"/>
        <w:tblOverlap w:val="never"/>
        <w:tblW w:w="9697" w:type="dxa"/>
        <w:tblInd w:w="0" w:type="dxa"/>
        <w:tblBorders>
          <w:top w:val="single" w:color="95B3D7" w:sz="6" w:space="0"/>
          <w:left w:val="single" w:color="95B3D7" w:sz="6" w:space="0"/>
          <w:bottom w:val="single" w:color="95B3D7" w:sz="6" w:space="0"/>
          <w:right w:val="single" w:color="95B3D7" w:sz="6" w:space="0"/>
          <w:insideH w:val="single" w:color="95B3D7" w:sz="6" w:space="0"/>
          <w:insideV w:val="single" w:color="95B3D7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551"/>
        <w:gridCol w:w="6827"/>
        <w:gridCol w:w="676"/>
        <w:gridCol w:w="897"/>
      </w:tblGrid>
      <w:tr>
        <w:tblPrEx>
          <w:tblBorders>
            <w:top w:val="single" w:color="95B3D7" w:sz="6" w:space="0"/>
            <w:left w:val="single" w:color="95B3D7" w:sz="6" w:space="0"/>
            <w:bottom w:val="single" w:color="95B3D7" w:sz="6" w:space="0"/>
            <w:right w:val="single" w:color="95B3D7" w:sz="6" w:space="0"/>
            <w:insideH w:val="single" w:color="95B3D7" w:sz="6" w:space="0"/>
            <w:insideV w:val="single" w:color="95B3D7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97" w:type="dxa"/>
            <w:gridSpan w:val="2"/>
            <w:shd w:val="clear" w:color="auto" w:fill="EEF9FB"/>
            <w:vAlign w:val="center"/>
          </w:tcPr>
          <w:p>
            <w:pPr>
              <w:tabs>
                <w:tab w:val="left" w:pos="5681"/>
              </w:tabs>
              <w:spacing w:before="120" w:beforeLines="50" w:line="360" w:lineRule="auto"/>
              <w:jc w:val="center"/>
              <w:rPr>
                <w:rFonts w:ascii="黑体" w:hAnsi="黑体" w:eastAsia="黑体" w:cs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6827" w:type="dxa"/>
            <w:shd w:val="clear" w:color="auto" w:fill="EEF9FB"/>
            <w:vAlign w:val="center"/>
          </w:tcPr>
          <w:p>
            <w:pPr>
              <w:tabs>
                <w:tab w:val="left" w:pos="5681"/>
              </w:tabs>
              <w:spacing w:before="120" w:beforeLines="50" w:line="360" w:lineRule="auto"/>
              <w:jc w:val="center"/>
              <w:rPr>
                <w:rFonts w:ascii="黑体" w:hAnsi="黑体" w:eastAsia="黑体" w:cs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Cs w:val="21"/>
              </w:rPr>
              <w:t>行程</w:t>
            </w:r>
          </w:p>
        </w:tc>
        <w:tc>
          <w:tcPr>
            <w:tcW w:w="676" w:type="dxa"/>
            <w:shd w:val="clear" w:color="auto" w:fill="EEF9FB"/>
            <w:vAlign w:val="center"/>
          </w:tcPr>
          <w:p>
            <w:pPr>
              <w:tabs>
                <w:tab w:val="left" w:pos="5681"/>
              </w:tabs>
              <w:spacing w:before="120" w:beforeLines="50" w:line="360" w:lineRule="auto"/>
              <w:jc w:val="center"/>
              <w:rPr>
                <w:rFonts w:ascii="黑体" w:hAnsi="黑体" w:eastAsia="黑体" w:cs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Cs w:val="21"/>
              </w:rPr>
              <w:t>用餐</w:t>
            </w:r>
          </w:p>
        </w:tc>
        <w:tc>
          <w:tcPr>
            <w:tcW w:w="897" w:type="dxa"/>
            <w:shd w:val="clear" w:color="auto" w:fill="EEF9FB"/>
            <w:vAlign w:val="center"/>
          </w:tcPr>
          <w:p>
            <w:pPr>
              <w:tabs>
                <w:tab w:val="left" w:pos="5681"/>
              </w:tabs>
              <w:spacing w:before="120" w:beforeLines="50" w:line="360" w:lineRule="auto"/>
              <w:jc w:val="center"/>
              <w:rPr>
                <w:rFonts w:ascii="黑体" w:hAnsi="黑体" w:eastAsia="黑体" w:cs="黑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Cs w:val="21"/>
              </w:rPr>
              <w:t>住宿</w:t>
            </w:r>
          </w:p>
        </w:tc>
      </w:tr>
      <w:tr>
        <w:tblPrEx>
          <w:tblBorders>
            <w:top w:val="single" w:color="95B3D7" w:sz="6" w:space="0"/>
            <w:left w:val="single" w:color="95B3D7" w:sz="6" w:space="0"/>
            <w:bottom w:val="single" w:color="95B3D7" w:sz="6" w:space="0"/>
            <w:right w:val="single" w:color="95B3D7" w:sz="6" w:space="0"/>
            <w:insideH w:val="single" w:color="95B3D7" w:sz="6" w:space="0"/>
            <w:insideV w:val="single" w:color="95B3D7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0" w:hRule="atLeast"/>
        </w:trPr>
        <w:tc>
          <w:tcPr>
            <w:tcW w:w="746" w:type="dxa"/>
            <w:vMerge w:val="restar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</w:rPr>
              <w:t>D1</w:t>
            </w:r>
            <w:r>
              <w:rPr>
                <w:rFonts w:hint="eastAsia" w:ascii="黑体" w:hAnsi="黑体" w:eastAsia="黑体" w:cs="黑体"/>
                <w:b/>
                <w:bCs/>
                <w:sz w:val="28"/>
                <w:szCs w:val="36"/>
                <w:lang w:val="en-US" w:eastAsia="zh-CN"/>
              </w:rPr>
              <w:t>-D3</w:t>
            </w: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8"/>
                <w:szCs w:val="36"/>
              </w:rPr>
            </w:pPr>
          </w:p>
        </w:tc>
        <w:tc>
          <w:tcPr>
            <w:tcW w:w="6827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left="1303" w:leftChars="18" w:hanging="1265" w:hangingChars="600"/>
              <w:rPr>
                <w:rFonts w:ascii="黑体" w:hAnsi="黑体" w:eastAsia="黑体" w:cs="黑体"/>
                <w:b/>
                <w:bCs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0000"/>
                <w:szCs w:val="21"/>
              </w:rPr>
              <w:t>杭州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17" w:leftChars="8" w:firstLine="18" w:firstLineChars="9"/>
              <w:rPr>
                <w:rFonts w:hint="default" w:ascii="黑体" w:hAnsi="黑体" w:eastAsia="黑体" w:cs="黑体"/>
                <w:szCs w:val="21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11:30-1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szCs w:val="21"/>
              </w:rPr>
              <w:t>: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szCs w:val="21"/>
              </w:rPr>
              <w:t>0 自行前往</w:t>
            </w:r>
            <w:r>
              <w:rPr>
                <w:rFonts w:hint="eastAsia" w:ascii="黑体" w:hAnsi="黑体" w:eastAsia="黑体" w:cs="黑体"/>
                <w:b/>
                <w:bCs/>
                <w:color w:val="FF0000"/>
                <w:szCs w:val="21"/>
              </w:rPr>
              <w:t>【杭州湖畔居茶楼（湖滨店）】</w:t>
            </w:r>
            <w:r>
              <w:rPr>
                <w:rFonts w:hint="eastAsia" w:ascii="黑体" w:hAnsi="黑体" w:eastAsia="黑体" w:cs="黑体"/>
                <w:szCs w:val="21"/>
              </w:rPr>
              <w:t>（地址：圣塘景区1号（望湖宾馆对面））用中餐</w:t>
            </w:r>
            <w:r>
              <w:rPr>
                <w:rFonts w:hint="eastAsia" w:ascii="黑体" w:hAnsi="黑体" w:eastAsia="黑体" w:cs="黑体"/>
                <w:szCs w:val="21"/>
                <w:lang w:eastAsia="zh-Hans"/>
              </w:rPr>
              <w:t>，</w:t>
            </w:r>
            <w:r>
              <w:rPr>
                <w:rFonts w:hint="eastAsia" w:ascii="黑体" w:hAnsi="黑体" w:eastAsia="黑体" w:cs="黑体"/>
                <w:szCs w:val="21"/>
              </w:rPr>
              <w:t>喝茶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、聊天、打牌</w:t>
            </w:r>
            <w:r>
              <w:rPr>
                <w:rFonts w:hint="eastAsia" w:ascii="黑体" w:hAnsi="黑体" w:eastAsia="黑体" w:cs="黑体"/>
                <w:szCs w:val="21"/>
              </w:rPr>
              <w:t>。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（自到场开始限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4小时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）</w:t>
            </w:r>
          </w:p>
          <w:p>
            <w:pPr>
              <w:pStyle w:val="21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期间周边自主活动，湖滨公园、步行街、湖滨银泰等。</w:t>
            </w:r>
          </w:p>
          <w:p>
            <w:pPr>
              <w:pStyle w:val="21"/>
              <w:rPr>
                <w:rFonts w:hint="default" w:ascii="黑体" w:hAnsi="黑体" w:eastAsia="黑体" w:cs="黑体"/>
                <w:szCs w:val="21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Hans"/>
              </w:rPr>
              <w:t>品茶券包含内容：</w:t>
            </w:r>
            <w:r>
              <w:rPr>
                <w:rFonts w:hint="eastAsia" w:ascii="黑体" w:hAnsi="黑体" w:eastAsia="黑体" w:cs="黑体"/>
                <w:szCs w:val="21"/>
              </w:rPr>
              <w:t>喝茶</w:t>
            </w:r>
            <w:r>
              <w:rPr>
                <w:rFonts w:hint="eastAsia" w:ascii="黑体" w:hAnsi="黑体" w:eastAsia="黑体" w:cs="黑体"/>
                <w:szCs w:val="21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Hans"/>
              </w:rPr>
              <w:t>大厅</w:t>
            </w:r>
            <w:r>
              <w:rPr>
                <w:rFonts w:hint="default" w:ascii="黑体" w:hAnsi="黑体" w:eastAsia="黑体" w:cs="黑体"/>
                <w:szCs w:val="21"/>
                <w:lang w:eastAsia="zh-Hans"/>
              </w:rPr>
              <w:t>220</w:t>
            </w:r>
            <w:r>
              <w:rPr>
                <w:rFonts w:hint="eastAsia" w:ascii="黑体" w:hAnsi="黑体" w:eastAsia="黑体" w:cs="黑体"/>
                <w:szCs w:val="21"/>
                <w:lang w:val="en-US" w:eastAsia="zh-Hans"/>
              </w:rPr>
              <w:t>元茶）</w:t>
            </w:r>
            <w:r>
              <w:rPr>
                <w:rFonts w:hint="eastAsia" w:ascii="黑体" w:hAnsi="黑体" w:eastAsia="黑体" w:cs="黑体"/>
                <w:szCs w:val="21"/>
              </w:rPr>
              <w:t>+</w:t>
            </w:r>
            <w:r>
              <w:rPr>
                <w:rFonts w:hint="eastAsia" w:ascii="黑体" w:hAnsi="黑体" w:eastAsia="黑体" w:cs="黑体"/>
                <w:szCs w:val="21"/>
                <w:lang w:val="en-US" w:eastAsia="zh-Hans"/>
              </w:rPr>
              <w:t>主食（每人可选两款）</w:t>
            </w:r>
            <w:r>
              <w:rPr>
                <w:rFonts w:hint="default" w:ascii="黑体" w:hAnsi="黑体" w:eastAsia="黑体" w:cs="黑体"/>
                <w:szCs w:val="21"/>
                <w:lang w:eastAsia="zh-Hans"/>
              </w:rPr>
              <w:t>+</w:t>
            </w:r>
            <w:r>
              <w:rPr>
                <w:rFonts w:hint="eastAsia" w:ascii="黑体" w:hAnsi="黑体" w:eastAsia="黑体" w:cs="黑体"/>
                <w:szCs w:val="21"/>
                <w:lang w:val="en-US" w:eastAsia="zh-Hans"/>
              </w:rPr>
              <w:t>点心</w:t>
            </w:r>
            <w:r>
              <w:rPr>
                <w:rFonts w:hint="eastAsia" w:ascii="黑体" w:hAnsi="黑体" w:eastAsia="黑体" w:cs="黑体"/>
                <w:szCs w:val="21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Hans"/>
              </w:rPr>
              <w:t>每桌四款可选）</w:t>
            </w:r>
            <w:r>
              <w:rPr>
                <w:rFonts w:hint="default" w:ascii="黑体" w:hAnsi="黑体" w:eastAsia="黑体" w:cs="黑体"/>
                <w:szCs w:val="21"/>
                <w:lang w:eastAsia="zh-Hans"/>
              </w:rPr>
              <w:t>+</w:t>
            </w:r>
            <w:r>
              <w:rPr>
                <w:rFonts w:hint="eastAsia" w:ascii="黑体" w:hAnsi="黑体" w:eastAsia="黑体" w:cs="黑体"/>
                <w:szCs w:val="21"/>
              </w:rPr>
              <w:t>茶点</w:t>
            </w:r>
            <w:r>
              <w:rPr>
                <w:rFonts w:hint="eastAsia" w:ascii="黑体" w:hAnsi="黑体" w:eastAsia="黑体" w:cs="黑体"/>
                <w:szCs w:val="21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Cs w:val="21"/>
                <w:lang w:val="en-US" w:eastAsia="zh-Hans"/>
              </w:rPr>
              <w:t>每桌</w:t>
            </w:r>
            <w:r>
              <w:rPr>
                <w:rFonts w:hint="default" w:ascii="黑体" w:hAnsi="黑体" w:eastAsia="黑体" w:cs="黑体"/>
                <w:szCs w:val="21"/>
                <w:lang w:eastAsia="zh-Hans"/>
              </w:rPr>
              <w:t>6-8</w:t>
            </w:r>
            <w:r>
              <w:rPr>
                <w:rFonts w:hint="eastAsia" w:ascii="黑体" w:hAnsi="黑体" w:eastAsia="黑体" w:cs="黑体"/>
                <w:szCs w:val="21"/>
                <w:lang w:val="en-US" w:eastAsia="zh-Hans"/>
              </w:rPr>
              <w:t>款可选，不浪费的前提下可畅吃）</w:t>
            </w:r>
            <w:r>
              <w:rPr>
                <w:rFonts w:hint="default" w:ascii="黑体" w:hAnsi="黑体" w:eastAsia="黑体" w:cs="黑体"/>
                <w:szCs w:val="21"/>
                <w:lang w:eastAsia="zh-Hans"/>
              </w:rPr>
              <w:t>+</w:t>
            </w:r>
            <w:r>
              <w:rPr>
                <w:rFonts w:hint="eastAsia" w:ascii="黑体" w:hAnsi="黑体" w:eastAsia="黑体" w:cs="黑体"/>
                <w:szCs w:val="21"/>
                <w:lang w:val="en-US" w:eastAsia="zh-Hans"/>
              </w:rPr>
              <w:t>水果（应季水果，不浪费的前提下可畅吃）</w:t>
            </w:r>
          </w:p>
          <w:p>
            <w:pPr>
              <w:pStyle w:val="21"/>
              <w:ind w:left="0" w:leftChars="0" w:firstLine="0" w:firstLineChars="0"/>
              <w:rPr>
                <w:rFonts w:hint="eastAsia" w:ascii="黑体" w:hAnsi="黑体" w:eastAsia="黑体" w:cs="黑体"/>
                <w:szCs w:val="21"/>
              </w:rPr>
            </w:pPr>
            <w:r>
              <w:drawing>
                <wp:inline distT="0" distB="0" distL="114300" distR="114300">
                  <wp:extent cx="2016125" cy="1296035"/>
                  <wp:effectExtent l="0" t="0" r="3175" b="18415"/>
                  <wp:docPr id="2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2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</w:rPr>
              <w:t xml:space="preserve"> </w:t>
            </w:r>
            <w:r>
              <w:drawing>
                <wp:inline distT="0" distB="0" distL="114300" distR="114300">
                  <wp:extent cx="2016125" cy="1296035"/>
                  <wp:effectExtent l="0" t="0" r="3175" b="18415"/>
                  <wp:docPr id="17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2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left="17" w:leftChars="8" w:firstLine="18" w:firstLineChars="9"/>
            </w:pPr>
          </w:p>
        </w:tc>
        <w:tc>
          <w:tcPr>
            <w:tcW w:w="676" w:type="dxa"/>
            <w:vMerge w:val="restart"/>
            <w:vAlign w:val="center"/>
          </w:tcPr>
          <w:p>
            <w:pPr>
              <w:spacing w:before="240" w:beforeLines="100" w:line="36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中</w:t>
            </w:r>
          </w:p>
          <w:p>
            <w:pPr>
              <w:spacing w:before="240" w:beforeLines="100" w:line="36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晚</w:t>
            </w:r>
          </w:p>
        </w:tc>
        <w:tc>
          <w:tcPr>
            <w:tcW w:w="897" w:type="dxa"/>
            <w:vMerge w:val="restart"/>
            <w:vAlign w:val="center"/>
          </w:tcPr>
          <w:p>
            <w:pPr>
              <w:spacing w:before="240" w:beforeLines="100" w:line="36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Cs w:val="21"/>
              </w:rPr>
              <w:t>/</w:t>
            </w:r>
          </w:p>
        </w:tc>
      </w:tr>
      <w:tr>
        <w:tblPrEx>
          <w:tblBorders>
            <w:top w:val="single" w:color="95B3D7" w:sz="6" w:space="0"/>
            <w:left w:val="single" w:color="95B3D7" w:sz="6" w:space="0"/>
            <w:bottom w:val="single" w:color="95B3D7" w:sz="6" w:space="0"/>
            <w:right w:val="single" w:color="95B3D7" w:sz="6" w:space="0"/>
            <w:insideH w:val="single" w:color="95B3D7" w:sz="6" w:space="0"/>
            <w:insideV w:val="single" w:color="95B3D7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74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8"/>
                <w:szCs w:val="36"/>
              </w:rPr>
            </w:pP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8"/>
                <w:szCs w:val="36"/>
              </w:rPr>
            </w:pPr>
          </w:p>
        </w:tc>
        <w:tc>
          <w:tcPr>
            <w:tcW w:w="6827" w:type="dxa"/>
            <w:vAlign w:val="center"/>
          </w:tcPr>
          <w:p>
            <w:pPr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17:30-19:30 自行前往</w:t>
            </w:r>
            <w:r>
              <w:rPr>
                <w:rFonts w:hint="eastAsia" w:ascii="黑体" w:hAnsi="黑体" w:eastAsia="黑体" w:cs="黑体"/>
                <w:b/>
                <w:bCs/>
                <w:color w:val="FF0000"/>
                <w:szCs w:val="21"/>
              </w:rPr>
              <w:t>【杭州君悦酒店·咖啡自助餐厅】</w:t>
            </w:r>
            <w:r>
              <w:rPr>
                <w:rFonts w:hint="eastAsia" w:ascii="黑体" w:hAnsi="黑体" w:eastAsia="黑体" w:cs="黑体"/>
                <w:szCs w:val="21"/>
              </w:rPr>
              <w:t>（地址：湖滨路28号君悦酒店1层（近平海路））用晚餐。</w:t>
            </w:r>
          </w:p>
          <w:p>
            <w:pPr>
              <w:pStyle w:val="21"/>
              <w:ind w:left="0" w:leftChars="0" w:firstLine="0" w:firstLine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杭州君悦酒店有400平方米的屋顶花园，晚上可以欣赏西湖音乐喷泉</w:t>
            </w:r>
            <w:r>
              <w:rPr>
                <w:rFonts w:hint="eastAsia"/>
                <w:lang w:eastAsia="zh-CN"/>
              </w:rPr>
              <w:t>（若</w:t>
            </w:r>
            <w:r>
              <w:rPr>
                <w:rFonts w:hint="eastAsia"/>
              </w:rPr>
              <w:t>音乐喷泉</w:t>
            </w:r>
            <w:r>
              <w:rPr>
                <w:rFonts w:hint="eastAsia"/>
                <w:lang w:eastAsia="zh-CN"/>
              </w:rPr>
              <w:t>开放）。</w:t>
            </w:r>
          </w:p>
          <w:p>
            <w:r>
              <w:drawing>
                <wp:inline distT="0" distB="0" distL="114300" distR="114300">
                  <wp:extent cx="2016125" cy="1296035"/>
                  <wp:effectExtent l="0" t="0" r="3175" b="18415"/>
                  <wp:docPr id="28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2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</w:t>
            </w:r>
            <w:r>
              <w:drawing>
                <wp:inline distT="0" distB="0" distL="114300" distR="114300">
                  <wp:extent cx="2016125" cy="1296035"/>
                  <wp:effectExtent l="0" t="0" r="3175" b="18415"/>
                  <wp:docPr id="29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2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" w:type="dxa"/>
            <w:vMerge w:val="continue"/>
            <w:vAlign w:val="center"/>
          </w:tcPr>
          <w:p>
            <w:pPr>
              <w:spacing w:before="240" w:beforeLines="100" w:line="360" w:lineRule="auto"/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897" w:type="dxa"/>
            <w:vMerge w:val="continue"/>
            <w:vAlign w:val="center"/>
          </w:tcPr>
          <w:p>
            <w:pPr>
              <w:spacing w:before="240" w:beforeLines="100" w:line="360" w:lineRule="auto"/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  <w:tr>
        <w:tblPrEx>
          <w:tblBorders>
            <w:top w:val="single" w:color="95B3D7" w:sz="6" w:space="0"/>
            <w:left w:val="single" w:color="95B3D7" w:sz="6" w:space="0"/>
            <w:bottom w:val="single" w:color="95B3D7" w:sz="6" w:space="0"/>
            <w:right w:val="single" w:color="95B3D7" w:sz="6" w:space="0"/>
            <w:insideH w:val="single" w:color="95B3D7" w:sz="6" w:space="0"/>
            <w:insideV w:val="single" w:color="95B3D7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74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8"/>
                <w:szCs w:val="36"/>
              </w:rPr>
            </w:pPr>
          </w:p>
        </w:tc>
        <w:tc>
          <w:tcPr>
            <w:tcW w:w="55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8"/>
                <w:szCs w:val="36"/>
              </w:rPr>
            </w:pPr>
          </w:p>
        </w:tc>
        <w:tc>
          <w:tcPr>
            <w:tcW w:w="6827" w:type="dxa"/>
            <w:vAlign w:val="center"/>
          </w:tcPr>
          <w:p>
            <w:pPr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eastAsia="zh-CN"/>
              </w:rPr>
              <w:t>当天结束后自行返回。</w:t>
            </w:r>
          </w:p>
        </w:tc>
        <w:tc>
          <w:tcPr>
            <w:tcW w:w="676" w:type="dxa"/>
            <w:vAlign w:val="center"/>
          </w:tcPr>
          <w:p>
            <w:pPr>
              <w:spacing w:before="240" w:beforeLines="100" w:line="360" w:lineRule="auto"/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897" w:type="dxa"/>
            <w:vAlign w:val="center"/>
          </w:tcPr>
          <w:p>
            <w:pPr>
              <w:spacing w:before="240" w:beforeLines="100" w:line="360" w:lineRule="auto"/>
              <w:jc w:val="center"/>
              <w:rPr>
                <w:rFonts w:ascii="黑体" w:hAnsi="黑体" w:eastAsia="黑体" w:cs="黑体"/>
                <w:szCs w:val="21"/>
              </w:rPr>
            </w:pPr>
          </w:p>
        </w:tc>
      </w:tr>
    </w:tbl>
    <w:p>
      <w:pPr>
        <w:pStyle w:val="21"/>
        <w:rPr>
          <w:rFonts w:hint="eastAsia"/>
        </w:rPr>
      </w:pPr>
    </w:p>
    <w:p>
      <w:pPr>
        <w:widowControl/>
        <w:jc w:val="left"/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sz w:val="24"/>
        </w:rPr>
        <w:t>二、</w:t>
      </w:r>
      <w:r>
        <w:rPr>
          <w:rFonts w:hint="eastAsia" w:ascii="黑体" w:hAnsi="黑体" w:eastAsia="黑体" w:cs="黑体"/>
          <w:b/>
          <w:bCs/>
          <w:sz w:val="24"/>
        </w:rPr>
        <w:t>服务内容</w:t>
      </w:r>
    </w:p>
    <w:tbl>
      <w:tblPr>
        <w:tblStyle w:val="15"/>
        <w:tblpPr w:leftFromText="180" w:rightFromText="180" w:vertAnchor="text" w:horzAnchor="margin" w:tblpX="108" w:tblpY="165"/>
        <w:tblOverlap w:val="never"/>
        <w:tblW w:w="94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059"/>
        <w:gridCol w:w="6194"/>
        <w:gridCol w:w="1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序号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服务内容</w:t>
            </w:r>
          </w:p>
        </w:tc>
        <w:tc>
          <w:tcPr>
            <w:tcW w:w="6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服务标准详情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1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餐厅</w:t>
            </w:r>
          </w:p>
        </w:tc>
        <w:tc>
          <w:tcPr>
            <w:tcW w:w="6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</w:rPr>
              <w:t>杭州湖畔居茶楼（湖滨店）*1 中餐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  <w:lang w:eastAsia="zh-Hans"/>
              </w:rPr>
              <w:t>（</w:t>
            </w:r>
            <w:r>
              <w:rPr>
                <w:rFonts w:hint="eastAsia"/>
                <w:lang w:val="en-US" w:eastAsia="zh-Hans"/>
              </w:rPr>
              <w:t>包含：喝茶</w:t>
            </w:r>
            <w:r>
              <w:rPr>
                <w:rFonts w:hint="default"/>
                <w:lang w:eastAsia="zh-Hans"/>
              </w:rPr>
              <w:t>+</w:t>
            </w:r>
            <w:r>
              <w:rPr>
                <w:rFonts w:hint="eastAsia"/>
                <w:lang w:val="en-US" w:eastAsia="zh-Hans"/>
              </w:rPr>
              <w:t>主食</w:t>
            </w:r>
            <w:r>
              <w:rPr>
                <w:rFonts w:hint="default"/>
                <w:lang w:eastAsia="zh-Hans"/>
              </w:rPr>
              <w:t>+</w:t>
            </w:r>
            <w:r>
              <w:rPr>
                <w:rFonts w:hint="eastAsia"/>
                <w:lang w:val="en-US" w:eastAsia="zh-Hans"/>
              </w:rPr>
              <w:t>点心</w:t>
            </w:r>
            <w:r>
              <w:rPr>
                <w:rFonts w:hint="default"/>
                <w:lang w:eastAsia="zh-Hans"/>
              </w:rPr>
              <w:t>+</w:t>
            </w:r>
            <w:r>
              <w:rPr>
                <w:rFonts w:hint="eastAsia"/>
                <w:lang w:val="en-US" w:eastAsia="zh-Hans"/>
              </w:rPr>
              <w:t>茶点</w:t>
            </w:r>
            <w:r>
              <w:rPr>
                <w:rFonts w:hint="default"/>
                <w:lang w:eastAsia="zh-Hans"/>
              </w:rPr>
              <w:t>+</w:t>
            </w:r>
            <w:r>
              <w:rPr>
                <w:rFonts w:hint="eastAsia"/>
                <w:lang w:val="en-US" w:eastAsia="zh-Hans"/>
              </w:rPr>
              <w:t>水果）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3张券（当日使用）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2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餐厅</w:t>
            </w:r>
          </w:p>
        </w:tc>
        <w:tc>
          <w:tcPr>
            <w:tcW w:w="6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杭州君悦酒店·咖啡自助餐厅*2 晚餐 自助餐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3张券（当日使用）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黑体" w:hAnsi="黑体" w:eastAsia="黑体" w:cs="黑体"/>
                <w:szCs w:val="21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  <w:t>总价2000元/人</w:t>
            </w: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  <w:lang w:val="en-US" w:eastAsia="zh-Hans"/>
              </w:rPr>
              <w:t>非周末）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2000元/人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b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  <w:lang w:eastAsia="zh-CN"/>
              </w:rPr>
              <w:t>注：成团后，将就餐券发放到报名人，券为限时、不记名，允许人员之间互换，到茶楼或酒店凭当日券就餐，无券需现场支付茶楼或酒店费用。费用详见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/>
                <w:bCs/>
                <w:sz w:val="22"/>
                <w:szCs w:val="22"/>
                <w:lang w:eastAsia="zh-CN"/>
              </w:rPr>
              <w:t>“家属收费标准”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</w:tr>
    </w:tbl>
    <w:p>
      <w:pPr>
        <w:pStyle w:val="21"/>
      </w:pPr>
    </w:p>
    <w:p>
      <w:pPr>
        <w:rPr>
          <w:rFonts w:ascii="黑体" w:hAnsi="黑体" w:eastAsia="黑体" w:cs="黑体"/>
          <w:b/>
          <w:bCs/>
          <w:sz w:val="24"/>
          <w:szCs w:val="22"/>
        </w:rPr>
      </w:pPr>
      <w:r>
        <w:rPr>
          <w:rFonts w:hint="eastAsia" w:ascii="黑体" w:hAnsi="黑体" w:eastAsia="黑体" w:cs="黑体"/>
          <w:b/>
          <w:bCs/>
          <w:sz w:val="24"/>
          <w:szCs w:val="22"/>
          <w:lang w:val="en-US" w:eastAsia="zh-Hans"/>
        </w:rPr>
        <w:t>儿童</w:t>
      </w:r>
      <w:r>
        <w:rPr>
          <w:rFonts w:hint="eastAsia" w:ascii="黑体" w:hAnsi="黑体" w:eastAsia="黑体" w:cs="黑体"/>
          <w:b/>
          <w:bCs/>
          <w:sz w:val="24"/>
          <w:szCs w:val="22"/>
        </w:rPr>
        <w:t>价格</w:t>
      </w:r>
    </w:p>
    <w:p>
      <w:pPr>
        <w:pStyle w:val="5"/>
      </w:pPr>
    </w:p>
    <w:tbl>
      <w:tblPr>
        <w:tblStyle w:val="16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0"/>
        <w:gridCol w:w="4525"/>
        <w:gridCol w:w="2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0" w:type="dxa"/>
            <w:shd w:val="clear" w:color="auto" w:fill="B6DDE8" w:themeFill="accent5" w:themeFillTint="66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/>
                <w:b/>
                <w:bCs/>
                <w:sz w:val="24"/>
                <w:szCs w:val="24"/>
                <w:lang w:val="en-US" w:eastAsia="zh-Hans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Hans"/>
              </w:rPr>
              <w:t>餐厅名称</w:t>
            </w:r>
          </w:p>
        </w:tc>
        <w:tc>
          <w:tcPr>
            <w:tcW w:w="4525" w:type="dxa"/>
            <w:shd w:val="clear" w:color="auto" w:fill="B6DDE8" w:themeFill="accent5" w:themeFillTint="66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Hans"/>
              </w:rPr>
              <w:t>人员情况</w:t>
            </w:r>
          </w:p>
        </w:tc>
        <w:tc>
          <w:tcPr>
            <w:tcW w:w="2073" w:type="dxa"/>
            <w:shd w:val="clear" w:color="auto" w:fill="B6DDE8" w:themeFill="accent5" w:themeFillTint="66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价格（元/人）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0" w:type="dxa"/>
            <w:vMerge w:val="restart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eastAsia" w:eastAsia="宋体" w:cs="Times New Roman"/>
                <w:lang w:val="en-US" w:eastAsia="zh-Hans"/>
              </w:rPr>
            </w:pPr>
            <w:r>
              <w:rPr>
                <w:rFonts w:hint="eastAsia" w:eastAsia="宋体" w:cs="Times New Roman"/>
                <w:lang w:val="en-US" w:eastAsia="zh-Hans"/>
              </w:rPr>
              <w:t>杭州湖畔居茶楼（湖滨店）</w:t>
            </w:r>
          </w:p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val="en-US" w:eastAsia="zh-Hans"/>
              </w:rPr>
            </w:pPr>
            <w:r>
              <w:rPr>
                <w:rFonts w:hint="eastAsia" w:eastAsia="宋体" w:cs="Times New Roman"/>
                <w:lang w:val="en-US" w:eastAsia="zh-Hans"/>
              </w:rPr>
              <w:t>中餐</w:t>
            </w:r>
          </w:p>
        </w:tc>
        <w:tc>
          <w:tcPr>
            <w:tcW w:w="4525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/>
                <w:szCs w:val="21"/>
                <w:lang w:val="en-US" w:eastAsia="zh-Hans"/>
              </w:rPr>
            </w:pPr>
            <w:r>
              <w:rPr>
                <w:rFonts w:hint="default"/>
                <w:szCs w:val="21"/>
                <w:lang w:eastAsia="zh-Hans"/>
              </w:rPr>
              <w:t>0.9</w:t>
            </w:r>
            <w:r>
              <w:rPr>
                <w:rFonts w:hint="eastAsia"/>
                <w:szCs w:val="21"/>
                <w:lang w:val="en-US" w:eastAsia="zh-Hans"/>
              </w:rPr>
              <w:t>米以下儿童（免）</w:t>
            </w:r>
          </w:p>
        </w:tc>
        <w:tc>
          <w:tcPr>
            <w:tcW w:w="2073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eastAsia="zh-Hans"/>
              </w:rPr>
            </w:pPr>
            <w:r>
              <w:rPr>
                <w:rFonts w:hint="default" w:eastAsia="宋体" w:cs="Times New Roman"/>
                <w:lang w:eastAsia="zh-Hans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0" w:type="dxa"/>
            <w:vMerge w:val="continue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val="en-US" w:eastAsia="zh-Hans"/>
              </w:rPr>
            </w:pPr>
          </w:p>
        </w:tc>
        <w:tc>
          <w:tcPr>
            <w:tcW w:w="4525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/>
                <w:szCs w:val="21"/>
                <w:lang w:eastAsia="zh-Hans"/>
              </w:rPr>
            </w:pPr>
            <w:r>
              <w:rPr>
                <w:rFonts w:hint="default"/>
                <w:szCs w:val="21"/>
                <w:lang w:eastAsia="zh-Hans"/>
              </w:rPr>
              <w:t>0.9</w:t>
            </w:r>
            <w:r>
              <w:rPr>
                <w:rFonts w:hint="eastAsia"/>
                <w:szCs w:val="21"/>
                <w:lang w:val="en-US" w:eastAsia="zh-Hans"/>
              </w:rPr>
              <w:t>米</w:t>
            </w:r>
            <w:r>
              <w:rPr>
                <w:rFonts w:hint="default"/>
                <w:szCs w:val="21"/>
                <w:lang w:eastAsia="zh-Hans"/>
              </w:rPr>
              <w:t>-1.3</w:t>
            </w:r>
            <w:r>
              <w:rPr>
                <w:rFonts w:hint="eastAsia"/>
                <w:szCs w:val="21"/>
                <w:lang w:val="en-US" w:eastAsia="zh-Hans"/>
              </w:rPr>
              <w:t>米儿童（半价）</w:t>
            </w:r>
          </w:p>
        </w:tc>
        <w:tc>
          <w:tcPr>
            <w:tcW w:w="2073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eastAsia="zh-CN"/>
              </w:rPr>
            </w:pPr>
            <w:r>
              <w:rPr>
                <w:rFonts w:hint="default" w:cs="Times New Roman"/>
                <w:lang w:eastAsia="zh-Hans"/>
              </w:rPr>
              <w:t>110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0" w:type="dxa"/>
            <w:vMerge w:val="continue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</w:rPr>
            </w:pPr>
          </w:p>
        </w:tc>
        <w:tc>
          <w:tcPr>
            <w:tcW w:w="4525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/>
                <w:szCs w:val="21"/>
                <w:lang w:val="en-US" w:eastAsia="zh-Hans"/>
              </w:rPr>
            </w:pPr>
            <w:r>
              <w:rPr>
                <w:rFonts w:hint="default"/>
                <w:szCs w:val="21"/>
              </w:rPr>
              <w:t>1.3</w:t>
            </w:r>
            <w:r>
              <w:rPr>
                <w:rFonts w:hint="eastAsia"/>
                <w:szCs w:val="21"/>
                <w:lang w:val="en-US" w:eastAsia="zh-Hans"/>
              </w:rPr>
              <w:t>米以上儿童（按成人）</w:t>
            </w:r>
          </w:p>
        </w:tc>
        <w:tc>
          <w:tcPr>
            <w:tcW w:w="2073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eastAsia="zh-CN"/>
              </w:rPr>
            </w:pPr>
            <w:r>
              <w:rPr>
                <w:rFonts w:hint="default" w:cs="Times New Roman"/>
                <w:lang w:eastAsia="zh-Hans"/>
              </w:rPr>
              <w:t>220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0" w:type="dxa"/>
            <w:vMerge w:val="restart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</w:rPr>
            </w:pPr>
            <w:r>
              <w:rPr>
                <w:rFonts w:hint="default" w:eastAsia="宋体" w:cs="Times New Roman"/>
              </w:rPr>
              <w:t>杭州君悦酒店·咖啡自助餐厅</w:t>
            </w:r>
          </w:p>
          <w:p>
            <w:pPr>
              <w:pStyle w:val="5"/>
              <w:spacing w:line="400" w:lineRule="exact"/>
              <w:ind w:firstLine="0"/>
              <w:jc w:val="center"/>
              <w:rPr>
                <w:rFonts w:hint="eastAsia" w:eastAsia="宋体" w:cs="Times New Roman"/>
                <w:lang w:val="en-US" w:eastAsia="zh-Hans"/>
              </w:rPr>
            </w:pPr>
            <w:r>
              <w:rPr>
                <w:rFonts w:hint="eastAsia" w:eastAsia="宋体" w:cs="Times New Roman"/>
                <w:lang w:val="en-US" w:eastAsia="zh-Hans"/>
              </w:rPr>
              <w:t>晚餐</w:t>
            </w:r>
          </w:p>
        </w:tc>
        <w:tc>
          <w:tcPr>
            <w:tcW w:w="4525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/>
                <w:szCs w:val="21"/>
                <w:lang w:val="en-US" w:eastAsia="zh-Hans"/>
              </w:rPr>
            </w:pPr>
            <w:r>
              <w:rPr>
                <w:rFonts w:hint="default"/>
                <w:szCs w:val="21"/>
              </w:rPr>
              <w:t>6</w:t>
            </w:r>
            <w:r>
              <w:rPr>
                <w:rFonts w:hint="eastAsia"/>
                <w:szCs w:val="21"/>
                <w:lang w:val="en-US" w:eastAsia="zh-Hans"/>
              </w:rPr>
              <w:t>周岁以下儿童（免）</w:t>
            </w:r>
          </w:p>
        </w:tc>
        <w:tc>
          <w:tcPr>
            <w:tcW w:w="2073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eastAsia="zh-CN"/>
              </w:rPr>
            </w:pPr>
            <w:r>
              <w:rPr>
                <w:rFonts w:hint="default" w:eastAsia="宋体" w:cs="Times New Roman"/>
                <w:lang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0" w:type="dxa"/>
            <w:vMerge w:val="continue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szCs w:val="21"/>
              </w:rPr>
            </w:pPr>
          </w:p>
        </w:tc>
        <w:tc>
          <w:tcPr>
            <w:tcW w:w="4525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/>
                <w:szCs w:val="21"/>
                <w:lang w:val="en-US" w:eastAsia="zh-Hans"/>
              </w:rPr>
            </w:pPr>
            <w:r>
              <w:rPr>
                <w:rFonts w:hint="default"/>
                <w:szCs w:val="21"/>
              </w:rPr>
              <w:t>6-12</w:t>
            </w:r>
            <w:r>
              <w:rPr>
                <w:rFonts w:hint="eastAsia"/>
                <w:szCs w:val="21"/>
                <w:lang w:val="en-US" w:eastAsia="zh-Hans"/>
              </w:rPr>
              <w:t>周岁儿童（半价）</w:t>
            </w:r>
          </w:p>
        </w:tc>
        <w:tc>
          <w:tcPr>
            <w:tcW w:w="2073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eastAsia="zh-Hans"/>
              </w:rPr>
            </w:pPr>
            <w:r>
              <w:rPr>
                <w:rFonts w:hint="eastAsia" w:eastAsia="宋体" w:cs="Times New Roman"/>
                <w:lang w:val="en-US" w:eastAsia="zh-Hans"/>
              </w:rPr>
              <w:t>非周末：</w:t>
            </w:r>
            <w:r>
              <w:rPr>
                <w:rFonts w:hint="default" w:eastAsia="宋体" w:cs="Times New Roman"/>
                <w:lang w:eastAsia="zh-Hans"/>
              </w:rPr>
              <w:t>214</w:t>
            </w:r>
          </w:p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eastAsia="zh-Hans"/>
              </w:rPr>
            </w:pPr>
            <w:r>
              <w:rPr>
                <w:rFonts w:hint="eastAsia" w:eastAsia="宋体" w:cs="Times New Roman"/>
                <w:lang w:val="en-US" w:eastAsia="zh-Hans"/>
              </w:rPr>
              <w:t>周末：</w:t>
            </w:r>
            <w:r>
              <w:rPr>
                <w:rFonts w:hint="default" w:eastAsia="宋体" w:cs="Times New Roman"/>
                <w:lang w:eastAsia="zh-Hans"/>
              </w:rPr>
              <w:t>234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0" w:type="dxa"/>
            <w:vMerge w:val="continue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szCs w:val="21"/>
              </w:rPr>
            </w:pPr>
          </w:p>
        </w:tc>
        <w:tc>
          <w:tcPr>
            <w:tcW w:w="4525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/>
                <w:lang w:val="en-US" w:eastAsia="zh-Hans"/>
              </w:rPr>
            </w:pPr>
            <w:r>
              <w:rPr>
                <w:rFonts w:hint="default"/>
              </w:rPr>
              <w:t>12</w:t>
            </w:r>
            <w:r>
              <w:rPr>
                <w:rFonts w:hint="eastAsia"/>
                <w:lang w:val="en-US" w:eastAsia="zh-Hans"/>
              </w:rPr>
              <w:t>周岁以上儿童（按成人）</w:t>
            </w:r>
          </w:p>
        </w:tc>
        <w:tc>
          <w:tcPr>
            <w:tcW w:w="2073" w:type="dxa"/>
            <w:vAlign w:val="center"/>
          </w:tcPr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eastAsia="zh-Hans"/>
              </w:rPr>
            </w:pPr>
            <w:r>
              <w:rPr>
                <w:rFonts w:hint="eastAsia" w:eastAsia="宋体" w:cs="Times New Roman"/>
                <w:lang w:val="en-US" w:eastAsia="zh-Hans"/>
              </w:rPr>
              <w:t>非周末：</w:t>
            </w:r>
            <w:r>
              <w:rPr>
                <w:rFonts w:hint="default" w:eastAsia="宋体" w:cs="Times New Roman"/>
                <w:lang w:eastAsia="zh-Hans"/>
              </w:rPr>
              <w:t>428</w:t>
            </w:r>
          </w:p>
          <w:p>
            <w:pPr>
              <w:pStyle w:val="5"/>
              <w:spacing w:line="400" w:lineRule="exact"/>
              <w:ind w:firstLine="0"/>
              <w:jc w:val="center"/>
              <w:rPr>
                <w:rFonts w:hint="default" w:eastAsia="宋体" w:cs="Times New Roman"/>
                <w:lang w:eastAsia="zh-Hans"/>
              </w:rPr>
            </w:pPr>
            <w:r>
              <w:rPr>
                <w:rFonts w:hint="eastAsia" w:eastAsia="宋体" w:cs="Times New Roman"/>
                <w:lang w:val="en-US" w:eastAsia="zh-Hans"/>
              </w:rPr>
              <w:t>周末：</w:t>
            </w:r>
            <w:r>
              <w:rPr>
                <w:rFonts w:hint="default" w:eastAsia="宋体" w:cs="Times New Roman"/>
                <w:lang w:eastAsia="zh-Hans"/>
              </w:rPr>
              <w:t>468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3"/>
            <w:shd w:val="clear" w:color="auto" w:fill="B6DDE8" w:themeFill="accent5" w:themeFillTint="66"/>
            <w:vAlign w:val="center"/>
          </w:tcPr>
          <w:p>
            <w:pPr>
              <w:pStyle w:val="5"/>
              <w:spacing w:line="40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儿童报名提供姓名，身份证号码，身高情况</w:t>
            </w:r>
          </w:p>
        </w:tc>
      </w:tr>
    </w:tbl>
    <w:p>
      <w:pPr>
        <w:pStyle w:val="21"/>
        <w:ind w:left="0" w:leftChars="0" w:firstLine="0" w:firstLineChars="0"/>
      </w:pPr>
    </w:p>
    <w:p>
      <w:pPr>
        <w:pStyle w:val="21"/>
        <w:ind w:left="0" w:leftChars="0" w:firstLine="0" w:firstLineChars="0"/>
      </w:pPr>
      <w:r>
        <w:drawing>
          <wp:inline distT="0" distB="0" distL="114300" distR="114300">
            <wp:extent cx="6172200" cy="4438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type w:val="continuous"/>
      <w:pgSz w:w="11893" w:h="16827"/>
      <w:pgMar w:top="1134" w:right="1080" w:bottom="1440" w:left="1080" w:header="0" w:footer="0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??">
    <w:altName w:val="方正清仿宋 简 Bold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清仿宋 简 Bold">
    <w:panose1 w:val="020008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lZjFmOGYzYWY3MTJjNDRmYjhhODA1OGE0MDZmZDYifQ=="/>
  </w:docVars>
  <w:rsids>
    <w:rsidRoot w:val="00F10753"/>
    <w:rsid w:val="00034C80"/>
    <w:rsid w:val="000667CE"/>
    <w:rsid w:val="00082FFA"/>
    <w:rsid w:val="000D1F0A"/>
    <w:rsid w:val="000D3E4D"/>
    <w:rsid w:val="00101991"/>
    <w:rsid w:val="00160988"/>
    <w:rsid w:val="00161AC5"/>
    <w:rsid w:val="00255636"/>
    <w:rsid w:val="002C25E5"/>
    <w:rsid w:val="002D150A"/>
    <w:rsid w:val="002D4008"/>
    <w:rsid w:val="00325EFA"/>
    <w:rsid w:val="003358B6"/>
    <w:rsid w:val="00347758"/>
    <w:rsid w:val="0036612A"/>
    <w:rsid w:val="003938C8"/>
    <w:rsid w:val="00394D92"/>
    <w:rsid w:val="003A1CF6"/>
    <w:rsid w:val="00492F69"/>
    <w:rsid w:val="004D1085"/>
    <w:rsid w:val="004F108E"/>
    <w:rsid w:val="0053102F"/>
    <w:rsid w:val="0054337A"/>
    <w:rsid w:val="005A550E"/>
    <w:rsid w:val="006015C3"/>
    <w:rsid w:val="00627793"/>
    <w:rsid w:val="006729A3"/>
    <w:rsid w:val="006A71EE"/>
    <w:rsid w:val="006C7A53"/>
    <w:rsid w:val="006F03D0"/>
    <w:rsid w:val="006F56CA"/>
    <w:rsid w:val="00753123"/>
    <w:rsid w:val="008216D7"/>
    <w:rsid w:val="008726FE"/>
    <w:rsid w:val="00872E82"/>
    <w:rsid w:val="00875B98"/>
    <w:rsid w:val="008A674E"/>
    <w:rsid w:val="008B0F01"/>
    <w:rsid w:val="008C2E93"/>
    <w:rsid w:val="008F13BE"/>
    <w:rsid w:val="0093563F"/>
    <w:rsid w:val="00966C17"/>
    <w:rsid w:val="0099733F"/>
    <w:rsid w:val="009D7148"/>
    <w:rsid w:val="00A23EF1"/>
    <w:rsid w:val="00A36BE7"/>
    <w:rsid w:val="00A72D79"/>
    <w:rsid w:val="00A8052D"/>
    <w:rsid w:val="00B12202"/>
    <w:rsid w:val="00B41010"/>
    <w:rsid w:val="00B92E0E"/>
    <w:rsid w:val="00BA56FD"/>
    <w:rsid w:val="00BD44C3"/>
    <w:rsid w:val="00BD5C8E"/>
    <w:rsid w:val="00BE37F1"/>
    <w:rsid w:val="00BE3F6F"/>
    <w:rsid w:val="00BF7565"/>
    <w:rsid w:val="00C52273"/>
    <w:rsid w:val="00C56193"/>
    <w:rsid w:val="00C8644A"/>
    <w:rsid w:val="00C87CAC"/>
    <w:rsid w:val="00C960A2"/>
    <w:rsid w:val="00CA4036"/>
    <w:rsid w:val="00CA4785"/>
    <w:rsid w:val="00CC622D"/>
    <w:rsid w:val="00CF1B27"/>
    <w:rsid w:val="00E02162"/>
    <w:rsid w:val="00E11A3A"/>
    <w:rsid w:val="00E27072"/>
    <w:rsid w:val="00E36257"/>
    <w:rsid w:val="00E41CBF"/>
    <w:rsid w:val="00E45AB0"/>
    <w:rsid w:val="00E57C87"/>
    <w:rsid w:val="00EA1474"/>
    <w:rsid w:val="00EF27EE"/>
    <w:rsid w:val="00F10753"/>
    <w:rsid w:val="00F245F2"/>
    <w:rsid w:val="00F441CF"/>
    <w:rsid w:val="00F61391"/>
    <w:rsid w:val="00F87897"/>
    <w:rsid w:val="00FB15B8"/>
    <w:rsid w:val="00FC1D32"/>
    <w:rsid w:val="00FE0102"/>
    <w:rsid w:val="02634F6B"/>
    <w:rsid w:val="028671F2"/>
    <w:rsid w:val="030640BE"/>
    <w:rsid w:val="0344060B"/>
    <w:rsid w:val="04C75F79"/>
    <w:rsid w:val="051E76A1"/>
    <w:rsid w:val="05346C97"/>
    <w:rsid w:val="055B415E"/>
    <w:rsid w:val="07294F2D"/>
    <w:rsid w:val="08932046"/>
    <w:rsid w:val="09132E4E"/>
    <w:rsid w:val="0ADD3B58"/>
    <w:rsid w:val="0B24775B"/>
    <w:rsid w:val="0CCA1D5D"/>
    <w:rsid w:val="0D4C5F16"/>
    <w:rsid w:val="0DCB3466"/>
    <w:rsid w:val="0F324557"/>
    <w:rsid w:val="0F3964F3"/>
    <w:rsid w:val="0F5D1DBA"/>
    <w:rsid w:val="10213415"/>
    <w:rsid w:val="105B6B24"/>
    <w:rsid w:val="11BE6460"/>
    <w:rsid w:val="124760DB"/>
    <w:rsid w:val="13BA1706"/>
    <w:rsid w:val="145A69B7"/>
    <w:rsid w:val="17B21321"/>
    <w:rsid w:val="18537468"/>
    <w:rsid w:val="1C7A3122"/>
    <w:rsid w:val="1CA72419"/>
    <w:rsid w:val="1D184DB3"/>
    <w:rsid w:val="1E242F53"/>
    <w:rsid w:val="1E61771E"/>
    <w:rsid w:val="1E762274"/>
    <w:rsid w:val="1E874345"/>
    <w:rsid w:val="1F515ED9"/>
    <w:rsid w:val="1F564D41"/>
    <w:rsid w:val="1F7F6471"/>
    <w:rsid w:val="20DE49BA"/>
    <w:rsid w:val="226E3387"/>
    <w:rsid w:val="234A4F24"/>
    <w:rsid w:val="244A72F3"/>
    <w:rsid w:val="24854AB7"/>
    <w:rsid w:val="254471F7"/>
    <w:rsid w:val="26BB1C95"/>
    <w:rsid w:val="26F65B68"/>
    <w:rsid w:val="274F013D"/>
    <w:rsid w:val="291A5FA3"/>
    <w:rsid w:val="2A3F3FDE"/>
    <w:rsid w:val="2AB24051"/>
    <w:rsid w:val="2CFF5A86"/>
    <w:rsid w:val="2DD5735F"/>
    <w:rsid w:val="2FE14838"/>
    <w:rsid w:val="31586204"/>
    <w:rsid w:val="33AA316D"/>
    <w:rsid w:val="33F16B08"/>
    <w:rsid w:val="34041772"/>
    <w:rsid w:val="34C363E5"/>
    <w:rsid w:val="353C6BE1"/>
    <w:rsid w:val="36057249"/>
    <w:rsid w:val="36824FDE"/>
    <w:rsid w:val="37E62FBE"/>
    <w:rsid w:val="3BBAA4EA"/>
    <w:rsid w:val="3C126FC3"/>
    <w:rsid w:val="3C701DB3"/>
    <w:rsid w:val="3CB80052"/>
    <w:rsid w:val="3E5D00AD"/>
    <w:rsid w:val="3E6A3C91"/>
    <w:rsid w:val="3F474155"/>
    <w:rsid w:val="3F5B5715"/>
    <w:rsid w:val="40A92631"/>
    <w:rsid w:val="416D420B"/>
    <w:rsid w:val="424F21C3"/>
    <w:rsid w:val="434C724C"/>
    <w:rsid w:val="44794277"/>
    <w:rsid w:val="4482050C"/>
    <w:rsid w:val="460B52D7"/>
    <w:rsid w:val="462B0A98"/>
    <w:rsid w:val="47E212F8"/>
    <w:rsid w:val="486C0D53"/>
    <w:rsid w:val="49903C5B"/>
    <w:rsid w:val="4B033861"/>
    <w:rsid w:val="4B8E3A3C"/>
    <w:rsid w:val="4C411CDA"/>
    <w:rsid w:val="4D04778C"/>
    <w:rsid w:val="4D1E17E5"/>
    <w:rsid w:val="4E6B5B7F"/>
    <w:rsid w:val="4EFB50B3"/>
    <w:rsid w:val="4EFB623B"/>
    <w:rsid w:val="4F4D4291"/>
    <w:rsid w:val="509444BF"/>
    <w:rsid w:val="50ED03A7"/>
    <w:rsid w:val="5132197C"/>
    <w:rsid w:val="52862B62"/>
    <w:rsid w:val="529C078A"/>
    <w:rsid w:val="530171E1"/>
    <w:rsid w:val="56A65D1B"/>
    <w:rsid w:val="56E52E19"/>
    <w:rsid w:val="56F8750E"/>
    <w:rsid w:val="58400F74"/>
    <w:rsid w:val="584E60DE"/>
    <w:rsid w:val="58B148F2"/>
    <w:rsid w:val="59C32697"/>
    <w:rsid w:val="5BFD5E08"/>
    <w:rsid w:val="5D186E2F"/>
    <w:rsid w:val="5D1E46B4"/>
    <w:rsid w:val="5EBD5102"/>
    <w:rsid w:val="5EF60568"/>
    <w:rsid w:val="5FDC4160"/>
    <w:rsid w:val="657111A0"/>
    <w:rsid w:val="6582604A"/>
    <w:rsid w:val="65C96CDE"/>
    <w:rsid w:val="67256D07"/>
    <w:rsid w:val="67594975"/>
    <w:rsid w:val="67847A9E"/>
    <w:rsid w:val="69180DB9"/>
    <w:rsid w:val="69702559"/>
    <w:rsid w:val="6B7D12AE"/>
    <w:rsid w:val="6BBE2DBF"/>
    <w:rsid w:val="6CEEB1D4"/>
    <w:rsid w:val="6D454734"/>
    <w:rsid w:val="6E2F6904"/>
    <w:rsid w:val="6EC40760"/>
    <w:rsid w:val="6F190049"/>
    <w:rsid w:val="6F8F6114"/>
    <w:rsid w:val="6FB34951"/>
    <w:rsid w:val="6FCC2DA6"/>
    <w:rsid w:val="70AE09E1"/>
    <w:rsid w:val="713D5840"/>
    <w:rsid w:val="71A65D74"/>
    <w:rsid w:val="71C57F3C"/>
    <w:rsid w:val="71F266A0"/>
    <w:rsid w:val="72DD7F10"/>
    <w:rsid w:val="755E3E82"/>
    <w:rsid w:val="759D51B7"/>
    <w:rsid w:val="75F6363B"/>
    <w:rsid w:val="762D2F06"/>
    <w:rsid w:val="76BD0508"/>
    <w:rsid w:val="771A0DE7"/>
    <w:rsid w:val="77313F6D"/>
    <w:rsid w:val="794E5888"/>
    <w:rsid w:val="795B01C9"/>
    <w:rsid w:val="7AB53E53"/>
    <w:rsid w:val="7B1B4C04"/>
    <w:rsid w:val="7C51755F"/>
    <w:rsid w:val="7D9E12AA"/>
    <w:rsid w:val="D7EE5E9E"/>
    <w:rsid w:val="DF3FE7F2"/>
    <w:rsid w:val="F1FB3826"/>
    <w:rsid w:val="F7EADE33"/>
    <w:rsid w:val="F8F77950"/>
    <w:rsid w:val="FBFC9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0" w:name="Table Web 3" w:locked="1"/>
    <w:lsdException w:uiPriority="99" w:name="Balloon Text"/>
    <w:lsdException w:qFormat="1" w:unhideWhenUsed="0" w:uiPriority="99" w:semiHidden="0" w:name="Table Grid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3"/>
    <w:basedOn w:val="1"/>
    <w:next w:val="1"/>
    <w:link w:val="22"/>
    <w:qFormat/>
    <w:locked/>
    <w:uiPriority w:val="99"/>
    <w:pPr>
      <w:ind w:left="580"/>
      <w:outlineLvl w:val="2"/>
    </w:pPr>
    <w:rPr>
      <w:rFonts w:ascii="微软雅黑" w:hAnsi="微软雅黑" w:eastAsia="微软雅黑" w:cs="微软雅黑"/>
      <w:b/>
      <w:bCs/>
      <w:kern w:val="0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 w:val="28"/>
    </w:rPr>
  </w:style>
  <w:style w:type="paragraph" w:styleId="5">
    <w:name w:val="Normal Indent"/>
    <w:basedOn w:val="1"/>
    <w:next w:val="1"/>
    <w:qFormat/>
    <w:uiPriority w:val="99"/>
    <w:pPr>
      <w:ind w:firstLine="420"/>
    </w:pPr>
    <w:rPr>
      <w:rFonts w:ascii="Calibri" w:hAnsi="Calibri" w:eastAsia="宋体"/>
      <w:szCs w:val="20"/>
    </w:rPr>
  </w:style>
  <w:style w:type="paragraph" w:styleId="6">
    <w:name w:val="Body Text Indent"/>
    <w:basedOn w:val="1"/>
    <w:next w:val="7"/>
    <w:qFormat/>
    <w:uiPriority w:val="0"/>
    <w:pPr>
      <w:spacing w:line="480" w:lineRule="exact"/>
      <w:ind w:firstLine="480" w:firstLineChars="200"/>
    </w:pPr>
    <w:rPr>
      <w:rFonts w:ascii="宋体" w:hAnsi="宋体"/>
      <w:sz w:val="24"/>
    </w:rPr>
  </w:style>
  <w:style w:type="paragraph" w:customStyle="1" w:styleId="7">
    <w:name w:val="正文文本首行缩进 21"/>
    <w:qFormat/>
    <w:uiPriority w:val="0"/>
    <w:pPr>
      <w:widowControl w:val="0"/>
      <w:spacing w:line="240" w:lineRule="atLeast"/>
      <w:ind w:firstLine="420"/>
      <w:jc w:val="both"/>
    </w:pPr>
    <w:rPr>
      <w:rFonts w:hint="eastAsia" w:ascii="宋体" w:hAnsi="Courier New" w:eastAsia="宋体" w:cs="Times New Roman"/>
      <w:color w:val="000000"/>
      <w:spacing w:val="-4"/>
      <w:kern w:val="2"/>
      <w:sz w:val="18"/>
      <w:szCs w:val="18"/>
      <w:u w:color="000000"/>
      <w:lang w:val="en-US" w:eastAsia="zh-CN" w:bidi="ar-SA"/>
    </w:rPr>
  </w:style>
  <w:style w:type="paragraph" w:styleId="8">
    <w:name w:val="Plain Text"/>
    <w:basedOn w:val="1"/>
    <w:next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rPr>
      <w:sz w:val="24"/>
    </w:rPr>
  </w:style>
  <w:style w:type="paragraph" w:styleId="12">
    <w:name w:val="Title"/>
    <w:basedOn w:val="1"/>
    <w:qFormat/>
    <w:locked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eastAsia="黑体"/>
      <w:b/>
      <w:snapToGrid w:val="0"/>
      <w:kern w:val="0"/>
      <w:sz w:val="24"/>
      <w:szCs w:val="21"/>
      <w:lang w:val="en-GB"/>
    </w:rPr>
  </w:style>
  <w:style w:type="paragraph" w:styleId="13">
    <w:name w:val="Body Text First Indent"/>
    <w:basedOn w:val="2"/>
    <w:next w:val="2"/>
    <w:unhideWhenUsed/>
    <w:qFormat/>
    <w:uiPriority w:val="0"/>
    <w:pPr>
      <w:ind w:firstLine="420" w:firstLineChars="100"/>
    </w:pPr>
  </w:style>
  <w:style w:type="paragraph" w:styleId="14">
    <w:name w:val="Body Text First Indent 2"/>
    <w:basedOn w:val="6"/>
    <w:qFormat/>
    <w:uiPriority w:val="99"/>
    <w:pPr>
      <w:ind w:firstLine="420"/>
    </w:pPr>
    <w:rPr>
      <w:rFonts w:ascii="??" w:hAnsi="??" w:cs="宋体"/>
      <w:spacing w:val="-4"/>
      <w:szCs w:val="21"/>
    </w:rPr>
  </w:style>
  <w:style w:type="table" w:styleId="16">
    <w:name w:val="Table Grid"/>
    <w:basedOn w:val="15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Strong"/>
    <w:basedOn w:val="17"/>
    <w:qFormat/>
    <w:locked/>
    <w:uiPriority w:val="0"/>
    <w:rPr>
      <w:b/>
      <w:bCs/>
    </w:rPr>
  </w:style>
  <w:style w:type="character" w:styleId="19">
    <w:name w:val="page number"/>
    <w:qFormat/>
    <w:uiPriority w:val="0"/>
  </w:style>
  <w:style w:type="character" w:styleId="20">
    <w:name w:val="Hyperlink"/>
    <w:basedOn w:val="17"/>
    <w:semiHidden/>
    <w:unhideWhenUsed/>
    <w:qFormat/>
    <w:uiPriority w:val="99"/>
    <w:rPr>
      <w:color w:val="0000FF"/>
      <w:u w:val="single"/>
    </w:rPr>
  </w:style>
  <w:style w:type="paragraph" w:styleId="2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/>
      <w:szCs w:val="22"/>
    </w:rPr>
  </w:style>
  <w:style w:type="character" w:customStyle="1" w:styleId="22">
    <w:name w:val="标题 3 字符"/>
    <w:basedOn w:val="17"/>
    <w:link w:val="4"/>
    <w:qFormat/>
    <w:locked/>
    <w:uiPriority w:val="99"/>
    <w:rPr>
      <w:rFonts w:ascii="微软雅黑" w:hAnsi="微软雅黑" w:eastAsia="微软雅黑" w:cs="微软雅黑"/>
      <w:b/>
      <w:bCs/>
      <w:sz w:val="21"/>
      <w:szCs w:val="21"/>
      <w:lang w:val="en-US" w:eastAsia="zh-CN" w:bidi="ar-SA"/>
    </w:rPr>
  </w:style>
  <w:style w:type="character" w:customStyle="1" w:styleId="23">
    <w:name w:val="页眉 字符"/>
    <w:basedOn w:val="17"/>
    <w:link w:val="10"/>
    <w:semiHidden/>
    <w:qFormat/>
    <w:locked/>
    <w:uiPriority w:val="99"/>
    <w:rPr>
      <w:rFonts w:cs="Times New Roman"/>
      <w:sz w:val="18"/>
      <w:szCs w:val="18"/>
    </w:rPr>
  </w:style>
  <w:style w:type="character" w:customStyle="1" w:styleId="24">
    <w:name w:val="页脚 字符"/>
    <w:basedOn w:val="17"/>
    <w:link w:val="9"/>
    <w:semiHidden/>
    <w:qFormat/>
    <w:locked/>
    <w:uiPriority w:val="99"/>
    <w:rPr>
      <w:rFonts w:cs="Times New Roman"/>
      <w:sz w:val="18"/>
      <w:szCs w:val="18"/>
    </w:rPr>
  </w:style>
  <w:style w:type="paragraph" w:customStyle="1" w:styleId="25">
    <w:name w:val="_Style 9"/>
    <w:next w:val="1"/>
    <w:qFormat/>
    <w:uiPriority w:val="0"/>
    <w:pPr>
      <w:widowControl w:val="0"/>
      <w:pBdr>
        <w:bottom w:val="single" w:color="auto" w:sz="6" w:space="1"/>
      </w:pBdr>
      <w:jc w:val="center"/>
    </w:pPr>
    <w:rPr>
      <w:rFonts w:ascii="Arial" w:hAnsi="Times New Roman" w:eastAsia="宋体" w:cs="Times New Roman"/>
      <w:snapToGrid w:val="0"/>
      <w:vanish/>
      <w:sz w:val="16"/>
      <w:lang w:val="en-US" w:eastAsia="zh-CN" w:bidi="ar-SA"/>
    </w:rPr>
  </w:style>
  <w:style w:type="paragraph" w:customStyle="1" w:styleId="26">
    <w:name w:val="_Style 10"/>
    <w:next w:val="1"/>
    <w:qFormat/>
    <w:uiPriority w:val="0"/>
    <w:pPr>
      <w:widowControl w:val="0"/>
      <w:pBdr>
        <w:top w:val="single" w:color="auto" w:sz="6" w:space="1"/>
      </w:pBdr>
      <w:jc w:val="center"/>
    </w:pPr>
    <w:rPr>
      <w:rFonts w:ascii="Arial" w:hAnsi="Times New Roman" w:eastAsia="宋体" w:cs="Times New Roman"/>
      <w:snapToGrid w:val="0"/>
      <w:vanish/>
      <w:sz w:val="16"/>
      <w:lang w:val="en-US" w:eastAsia="zh-CN" w:bidi="ar-SA"/>
    </w:rPr>
  </w:style>
  <w:style w:type="paragraph" w:customStyle="1" w:styleId="27">
    <w:name w:val="[Normal]"/>
    <w:qFormat/>
    <w:uiPriority w:val="0"/>
    <w:rPr>
      <w:rFonts w:ascii="宋体" w:hAnsi="宋体" w:eastAsia="宋体" w:cs="Times New Roman"/>
      <w:sz w:val="24"/>
      <w:szCs w:val="22"/>
      <w:lang w:val="zh-CN" w:eastAsia="zh-CN" w:bidi="ar-SA"/>
    </w:rPr>
  </w:style>
  <w:style w:type="character" w:customStyle="1" w:styleId="28">
    <w:name w:val="NormalCharacter"/>
    <w:qFormat/>
    <w:uiPriority w:val="0"/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9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560</Words>
  <Characters>624</Characters>
  <Lines>4</Lines>
  <Paragraphs>1</Paragraphs>
  <TotalTime>0</TotalTime>
  <ScaleCrop>false</ScaleCrop>
  <LinksUpToDate>false</LinksUpToDate>
  <CharactersWithSpaces>632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2022-05-28T02:52:00Z</dcterms:created>
  <dc:creator>HANGJUN ZHAO</dc:creator>
  <cp:lastModifiedBy>木拿艺</cp:lastModifiedBy>
  <cp:lastPrinted>2022-05-27T01:47:00Z</cp:lastPrinted>
  <dcterms:modified xsi:type="dcterms:W3CDTF">2022-06-06T03:11:46Z</dcterms:modified>
  <dc:title>温州雁荡山、洞头、江心屿（按25人算）：五天四晚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49B85FDB01B74D35A7FA0F7B581AED92</vt:lpwstr>
  </property>
</Properties>
</file>