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36"/>
        </w:rPr>
      </w:pP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桐庐</w:t>
      </w:r>
      <w:r>
        <w:rPr>
          <w:rFonts w:hint="eastAsia" w:ascii="黑体" w:hAnsi="黑体" w:eastAsia="黑体" w:cs="黑体"/>
          <w:b/>
          <w:bCs/>
          <w:sz w:val="28"/>
          <w:szCs w:val="36"/>
        </w:rPr>
        <w:t>疗休养</w:t>
      </w: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Hans"/>
        </w:rPr>
        <w:t>线路</w:t>
      </w:r>
      <w:r>
        <w:rPr>
          <w:rFonts w:hint="eastAsia" w:ascii="黑体" w:hAnsi="黑体" w:eastAsia="黑体" w:cs="黑体"/>
          <w:b/>
          <w:bCs/>
          <w:sz w:val="28"/>
          <w:szCs w:val="36"/>
        </w:rPr>
        <w:t>方案</w:t>
      </w:r>
    </w:p>
    <w:p>
      <w:pPr>
        <w:pStyle w:val="4"/>
        <w:ind w:left="0" w:leftChars="0" w:firstLine="0" w:firstLineChars="0"/>
        <w:rPr>
          <w:rFonts w:hint="eastAsia" w:eastAsia="黑体"/>
          <w:lang w:val="en-US" w:eastAsia="zh-Hans"/>
        </w:rPr>
      </w:pPr>
      <w:r>
        <w:rPr>
          <w:rFonts w:hint="eastAsia" w:ascii="黑体" w:hAnsi="黑体" w:cs="黑体"/>
          <w:b/>
          <w:bCs/>
          <w:sz w:val="24"/>
          <w:szCs w:val="32"/>
          <w:lang w:val="en-US" w:eastAsia="zh-Hans"/>
        </w:rPr>
        <w:t>一</w:t>
      </w:r>
      <w:r>
        <w:rPr>
          <w:rFonts w:hint="default" w:ascii="黑体" w:hAnsi="黑体" w:cs="黑体"/>
          <w:b/>
          <w:bCs/>
          <w:sz w:val="24"/>
          <w:szCs w:val="32"/>
          <w:lang w:eastAsia="zh-Hans"/>
        </w:rPr>
        <w:t>、</w:t>
      </w:r>
      <w:r>
        <w:rPr>
          <w:rFonts w:hint="eastAsia" w:ascii="黑体" w:hAnsi="黑体" w:cs="黑体"/>
          <w:b/>
          <w:bCs/>
          <w:sz w:val="24"/>
          <w:szCs w:val="32"/>
          <w:lang w:val="en-US" w:eastAsia="zh-Hans"/>
        </w:rPr>
        <w:t>主题呈现</w:t>
      </w:r>
    </w:p>
    <w:tbl>
      <w:tblPr>
        <w:tblStyle w:val="11"/>
        <w:tblpPr w:leftFromText="180" w:rightFromText="180" w:vertAnchor="text" w:horzAnchor="page" w:tblpXSpec="center" w:tblpY="151"/>
        <w:tblOverlap w:val="never"/>
        <w:tblW w:w="9846" w:type="dxa"/>
        <w:jc w:val="center"/>
        <w:tblBorders>
          <w:top w:val="dotDotDash" w:color="000000" w:sz="4" w:space="0"/>
          <w:left w:val="dotDotDash" w:color="000000" w:sz="4" w:space="0"/>
          <w:bottom w:val="dotDotDash" w:color="000000" w:sz="4" w:space="0"/>
          <w:right w:val="dotDotDash" w:color="000000" w:sz="4" w:space="0"/>
          <w:insideH w:val="dotDotDash" w:color="000000" w:sz="4" w:space="0"/>
          <w:insideV w:val="dotDotDash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6"/>
      </w:tblGrid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9846" w:type="dxa"/>
            <w:shd w:val="clear" w:color="auto" w:fill="DEEBF6" w:themeFill="accent1" w:themeFillTint="32"/>
            <w:noWrap w:val="0"/>
            <w:vAlign w:val="center"/>
          </w:tcPr>
          <w:p>
            <w:pPr>
              <w:pStyle w:val="4"/>
              <w:spacing w:line="360" w:lineRule="auto"/>
              <w:ind w:left="0" w:leftChars="0" w:firstLine="0" w:firstLineChars="0"/>
              <w:jc w:val="both"/>
              <w:rPr>
                <w:rFonts w:hint="eastAsia" w:ascii="黑体" w:hAnsi="黑体" w:eastAsia="宋体" w:cs="黑体"/>
                <w:sz w:val="20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宋体" w:cs="黑体"/>
                <w:b/>
                <w:bCs/>
                <w:sz w:val="24"/>
                <w:szCs w:val="24"/>
                <w:lang w:val="en-US" w:eastAsia="zh-Hans"/>
              </w:rPr>
              <w:t>名称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Hans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桐庐疗休养四日游</w:t>
            </w:r>
          </w:p>
        </w:tc>
      </w:tr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5" w:hRule="atLeast"/>
          <w:jc w:val="center"/>
        </w:trPr>
        <w:tc>
          <w:tcPr>
            <w:tcW w:w="9846" w:type="dxa"/>
            <w:noWrap w:val="0"/>
            <w:vAlign w:val="center"/>
          </w:tcPr>
          <w:p>
            <w:pPr>
              <w:pStyle w:val="4"/>
              <w:spacing w:line="360" w:lineRule="auto"/>
              <w:ind w:left="0" w:leftChars="0" w:firstLine="0" w:firstLineChars="0"/>
              <w:jc w:val="center"/>
              <w:rPr>
                <w:rFonts w:hint="eastAsia" w:ascii="黑体" w:hAnsi="黑体" w:eastAsia="宋体" w:cs="黑体"/>
                <w:b/>
                <w:bCs/>
                <w:sz w:val="24"/>
                <w:szCs w:val="24"/>
                <w:lang w:val="en-US" w:eastAsia="zh-Hans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6156325" cy="3629660"/>
                  <wp:effectExtent l="0" t="0" r="15875" b="8890"/>
                  <wp:docPr id="23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325" cy="3629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11"/>
        <w:tblpPr w:leftFromText="180" w:rightFromText="180" w:vertAnchor="text" w:horzAnchor="page" w:tblpXSpec="center" w:tblpY="72"/>
        <w:tblOverlap w:val="never"/>
        <w:tblW w:w="9876" w:type="dxa"/>
        <w:jc w:val="center"/>
        <w:tblBorders>
          <w:top w:val="dotDotDash" w:color="auto" w:sz="4" w:space="0"/>
          <w:left w:val="dotDotDash" w:color="auto" w:sz="4" w:space="0"/>
          <w:bottom w:val="dotDotDash" w:color="auto" w:sz="4" w:space="0"/>
          <w:right w:val="dotDotDash" w:color="auto" w:sz="4" w:space="0"/>
          <w:insideH w:val="dotDotDash" w:color="auto" w:sz="4" w:space="0"/>
          <w:insideV w:val="dotDotDash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2"/>
        <w:gridCol w:w="3292"/>
        <w:gridCol w:w="3292"/>
      </w:tblGrid>
      <w:tr>
        <w:tblPrEx>
          <w:tblBorders>
            <w:top w:val="dotDotDash" w:color="auto" w:sz="4" w:space="0"/>
            <w:left w:val="dotDotDash" w:color="auto" w:sz="4" w:space="0"/>
            <w:bottom w:val="dotDotDash" w:color="auto" w:sz="4" w:space="0"/>
            <w:right w:val="dotDotDash" w:color="auto" w:sz="4" w:space="0"/>
            <w:insideH w:val="dotDotDash" w:color="auto" w:sz="4" w:space="0"/>
            <w:insideV w:val="dotDotDash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9876" w:type="dxa"/>
            <w:gridSpan w:val="3"/>
            <w:tcBorders>
              <w:tl2br w:val="nil"/>
              <w:tr2bl w:val="nil"/>
            </w:tcBorders>
            <w:shd w:val="clear" w:color="auto" w:fill="DEEBF6" w:themeFill="accent1" w:themeFillTint="32"/>
            <w:noWrap w:val="0"/>
            <w:vAlign w:val="center"/>
          </w:tcPr>
          <w:p>
            <w:pPr>
              <w:pStyle w:val="4"/>
              <w:spacing w:line="240" w:lineRule="auto"/>
              <w:ind w:left="422" w:leftChars="0" w:hanging="422" w:hangingChars="20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Hans"/>
              </w:rPr>
              <w:t>特色主题</w:t>
            </w:r>
            <w:r>
              <w:rPr>
                <w:rFonts w:hint="default"/>
                <w:b/>
                <w:bCs/>
                <w:sz w:val="21"/>
                <w:szCs w:val="21"/>
                <w:lang w:eastAsia="zh-Hans"/>
              </w:rPr>
              <w:t>1</w:t>
            </w: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：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山谷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康养：远离都市喧嚣，来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山谷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洗肺、润肺，接受大自然的馈赠疗养 </w:t>
            </w:r>
          </w:p>
        </w:tc>
      </w:tr>
      <w:tr>
        <w:tblPrEx>
          <w:tblBorders>
            <w:top w:val="dotDotDash" w:color="auto" w:sz="4" w:space="0"/>
            <w:left w:val="dotDotDash" w:color="auto" w:sz="4" w:space="0"/>
            <w:bottom w:val="dotDotDash" w:color="auto" w:sz="4" w:space="0"/>
            <w:right w:val="dotDotDash" w:color="auto" w:sz="4" w:space="0"/>
            <w:insideH w:val="dotDotDash" w:color="auto" w:sz="4" w:space="0"/>
            <w:insideV w:val="dotDotDash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  <w:jc w:val="center"/>
        </w:trPr>
        <w:tc>
          <w:tcPr>
            <w:tcW w:w="32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2144395" cy="1400810"/>
                  <wp:effectExtent l="0" t="0" r="4445" b="1270"/>
                  <wp:docPr id="2" name="图片 2" descr="图片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图片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395" cy="140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Hans"/>
              </w:rPr>
            </w:pPr>
            <w:r>
              <w:rPr>
                <w:rFonts w:hint="eastAsia" w:ascii="楷体" w:hAnsi="楷体" w:eastAsia="楷体" w:cs="楷体"/>
                <w:spacing w:val="-11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2134235" cy="1482090"/>
                  <wp:effectExtent l="0" t="0" r="14605" b="11430"/>
                  <wp:docPr id="1" name="图片 1" descr="6949973d-96b6-4aea-83fd-e6d16c92a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949973d-96b6-4aea-83fd-e6d16c92a68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235" cy="148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Hans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2051685" cy="1355725"/>
                  <wp:effectExtent l="0" t="0" r="5715" b="15875"/>
                  <wp:docPr id="4" name="图片 4" descr="64062f843d814c9ec4e05ca8a47e9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64062f843d814c9ec4e05ca8a47e9e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685" cy="135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hint="eastAsia" w:ascii="黑体" w:hAnsi="黑体" w:eastAsia="黑体" w:cs="黑体"/>
          <w:b/>
          <w:bCs/>
          <w:sz w:val="22"/>
          <w:szCs w:val="28"/>
        </w:rPr>
      </w:pPr>
    </w:p>
    <w:p>
      <w:pPr>
        <w:rPr>
          <w:rFonts w:hint="eastAsia" w:ascii="黑体" w:hAnsi="黑体" w:eastAsia="黑体" w:cs="黑体"/>
          <w:b/>
          <w:bCs/>
          <w:sz w:val="22"/>
          <w:szCs w:val="28"/>
        </w:rPr>
      </w:pPr>
    </w:p>
    <w:p>
      <w:pPr>
        <w:pStyle w:val="4"/>
        <w:rPr>
          <w:rFonts w:hint="eastAsia" w:ascii="黑体" w:hAnsi="黑体" w:eastAsia="黑体" w:cs="黑体"/>
          <w:b/>
          <w:bCs/>
          <w:sz w:val="22"/>
          <w:szCs w:val="28"/>
        </w:rPr>
      </w:pPr>
    </w:p>
    <w:p>
      <w:pPr>
        <w:rPr>
          <w:rFonts w:hint="eastAsia" w:ascii="黑体" w:hAnsi="黑体" w:eastAsia="黑体" w:cs="黑体"/>
          <w:b/>
          <w:bCs/>
          <w:sz w:val="22"/>
          <w:szCs w:val="28"/>
        </w:rPr>
      </w:pPr>
    </w:p>
    <w:p>
      <w:pPr>
        <w:pStyle w:val="4"/>
        <w:rPr>
          <w:rFonts w:hint="eastAsia" w:ascii="黑体" w:hAnsi="黑体" w:eastAsia="黑体" w:cs="黑体"/>
          <w:b/>
          <w:bCs/>
          <w:sz w:val="22"/>
          <w:szCs w:val="28"/>
        </w:rPr>
      </w:pPr>
    </w:p>
    <w:p>
      <w:pPr>
        <w:rPr>
          <w:rFonts w:hint="eastAsia" w:ascii="黑体" w:hAnsi="黑体" w:eastAsia="黑体" w:cs="黑体"/>
          <w:b/>
          <w:bCs/>
          <w:sz w:val="22"/>
          <w:szCs w:val="28"/>
        </w:rPr>
      </w:pPr>
    </w:p>
    <w:p>
      <w:pPr>
        <w:pStyle w:val="4"/>
        <w:rPr>
          <w:rFonts w:hint="eastAsia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eastAsia" w:ascii="黑体" w:hAnsi="黑体" w:eastAsia="黑体" w:cs="黑体"/>
          <w:b/>
          <w:bCs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cs="黑体"/>
          <w:b/>
          <w:bCs/>
          <w:kern w:val="2"/>
          <w:sz w:val="22"/>
          <w:szCs w:val="22"/>
          <w:lang w:val="en-US" w:eastAsia="zh-CN" w:bidi="ar-SA"/>
        </w:rPr>
        <w:t>二、</w:t>
      </w:r>
      <w:r>
        <w:rPr>
          <w:rFonts w:hint="eastAsia" w:ascii="黑体" w:hAnsi="黑体" w:eastAsia="黑体" w:cs="黑体"/>
          <w:b/>
          <w:bCs/>
          <w:kern w:val="2"/>
          <w:sz w:val="22"/>
          <w:szCs w:val="22"/>
          <w:lang w:val="en-US" w:eastAsia="zh-CN" w:bidi="ar-SA"/>
        </w:rPr>
        <w:t>行程策划  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eastAsia" w:ascii="黑体" w:hAnsi="黑体" w:eastAsia="黑体" w:cs="黑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default" w:ascii="黑体" w:hAnsi="黑体" w:cs="黑体"/>
          <w:b/>
          <w:bCs/>
          <w:kern w:val="2"/>
          <w:sz w:val="21"/>
          <w:szCs w:val="21"/>
          <w:lang w:eastAsia="zh-CN" w:bidi="ar-SA"/>
        </w:rPr>
        <w:t>1、</w:t>
      </w:r>
      <w:r>
        <w:rPr>
          <w:rFonts w:hint="eastAsia" w:ascii="黑体" w:hAnsi="黑体" w:eastAsia="黑体" w:cs="黑体"/>
          <w:b/>
          <w:bCs/>
          <w:kern w:val="2"/>
          <w:sz w:val="21"/>
          <w:szCs w:val="21"/>
          <w:lang w:val="en-US" w:eastAsia="zh-Hans" w:bidi="ar-SA"/>
        </w:rPr>
        <w:t>具体行程安排</w:t>
      </w:r>
    </w:p>
    <w:tbl>
      <w:tblPr>
        <w:tblStyle w:val="11"/>
        <w:tblpPr w:leftFromText="180" w:rightFromText="180" w:vertAnchor="text" w:horzAnchor="page" w:tblpX="1209" w:tblpY="151"/>
        <w:tblOverlap w:val="never"/>
        <w:tblW w:w="9697" w:type="dxa"/>
        <w:tblInd w:w="0" w:type="dxa"/>
        <w:tblBorders>
          <w:top w:val="dotDotDash" w:color="000000" w:sz="4" w:space="0"/>
          <w:left w:val="dotDotDash" w:color="000000" w:sz="4" w:space="0"/>
          <w:bottom w:val="dotDotDash" w:color="000000" w:sz="4" w:space="0"/>
          <w:right w:val="dotDotDash" w:color="000000" w:sz="4" w:space="0"/>
          <w:insideH w:val="dotDotDash" w:color="000000" w:sz="4" w:space="0"/>
          <w:insideV w:val="dotDotDash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551"/>
        <w:gridCol w:w="6827"/>
        <w:gridCol w:w="676"/>
        <w:gridCol w:w="897"/>
      </w:tblGrid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97" w:type="dxa"/>
            <w:gridSpan w:val="2"/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Hans" w:bidi="ar-SA"/>
              </w:rPr>
              <w:t>起止日期</w:t>
            </w:r>
          </w:p>
        </w:tc>
        <w:tc>
          <w:tcPr>
            <w:tcW w:w="6827" w:type="dxa"/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Hans"/>
              </w:rPr>
              <w:t>时间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  <w:t>行程</w:t>
            </w:r>
          </w:p>
        </w:tc>
        <w:tc>
          <w:tcPr>
            <w:tcW w:w="676" w:type="dxa"/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Hans" w:bidi="ar-SA"/>
              </w:rPr>
              <w:t>餐饮</w:t>
            </w:r>
          </w:p>
        </w:tc>
        <w:tc>
          <w:tcPr>
            <w:tcW w:w="897" w:type="dxa"/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  <w:t>住宿</w:t>
            </w:r>
          </w:p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Hans"/>
              </w:rPr>
              <w:t>酒店</w:t>
            </w:r>
          </w:p>
        </w:tc>
      </w:tr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74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  <w:t>第</w:t>
            </w:r>
          </w:p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  <w:t>一</w:t>
            </w:r>
          </w:p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  <w:t>天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  <w:t>上午</w:t>
            </w:r>
          </w:p>
        </w:tc>
        <w:tc>
          <w:tcPr>
            <w:tcW w:w="6827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0" w:leftChars="0" w:firstLine="0" w:firstLineChars="0"/>
              <w:textAlignment w:val="auto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lang w:val="en-US" w:eastAsia="zh-CN" w:bidi="ar-SA"/>
              </w:rPr>
              <w:t>09:00-11:00杭州指定地点集合，前往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>桐庐.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0" w:leftChars="0" w:firstLine="0" w:firstLineChars="0"/>
              <w:textAlignment w:val="auto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lang w:val="en-US" w:eastAsia="zh-CN" w:bidi="ar-SA"/>
              </w:rPr>
              <w:t>11:</w:t>
            </w:r>
            <w:r>
              <w:rPr>
                <w:rFonts w:hint="eastAsia" w:ascii="黑体" w:hAnsi="黑体" w:cs="黑体"/>
                <w:color w:val="auto"/>
                <w:kern w:val="2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lang w:val="en-US" w:eastAsia="zh-CN" w:bidi="ar-SA"/>
              </w:rPr>
              <w:t>0-12:30，用中餐</w:t>
            </w:r>
          </w:p>
        </w:tc>
        <w:tc>
          <w:tcPr>
            <w:tcW w:w="6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eastAsia="zh-CN"/>
              </w:rPr>
              <w:t>中</w:t>
            </w:r>
          </w:p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晚</w:t>
            </w:r>
          </w:p>
        </w:tc>
        <w:tc>
          <w:tcPr>
            <w:tcW w:w="89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39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桐庐雷迪森</w:t>
            </w:r>
          </w:p>
        </w:tc>
      </w:tr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7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9" w:lineRule="auto"/>
              <w:ind w:left="585" w:hanging="585" w:hangingChars="279"/>
              <w:textAlignment w:val="auto"/>
            </w:pPr>
          </w:p>
        </w:tc>
        <w:tc>
          <w:tcPr>
            <w:tcW w:w="5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下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cs="黑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午</w:t>
            </w:r>
          </w:p>
        </w:tc>
        <w:tc>
          <w:tcPr>
            <w:tcW w:w="6827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1260" w:leftChars="0" w:hanging="1260" w:hangingChars="600"/>
              <w:textAlignment w:val="auto"/>
              <w:rPr>
                <w:rFonts w:hint="eastAsia" w:ascii="黑体" w:hAnsi="黑体" w:eastAsia="黑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 w:hAnsi="黑体" w:cs="黑体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:</w:t>
            </w:r>
            <w:r>
              <w:rPr>
                <w:rFonts w:hint="eastAsia" w:hAnsi="黑体" w:cs="黑体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0-1</w:t>
            </w:r>
            <w:r>
              <w:rPr>
                <w:rFonts w:hint="eastAsia" w:hAnsi="黑体" w:cs="黑体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:</w:t>
            </w:r>
            <w:r>
              <w:rPr>
                <w:rFonts w:hint="eastAsia" w:hAnsi="黑体" w:cs="黑体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kern w:val="2"/>
                <w:sz w:val="21"/>
                <w:szCs w:val="24"/>
                <w:lang w:val="en-US" w:eastAsia="zh-CN" w:bidi="ar-SA"/>
              </w:rPr>
              <w:t>【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kern w:val="2"/>
                <w:sz w:val="21"/>
                <w:szCs w:val="20"/>
                <w:lang w:val="en-US" w:eastAsia="zh-CN" w:bidi="ar-SA"/>
              </w:rPr>
              <w:t>瑶琳仙境</w:t>
            </w:r>
            <w:r>
              <w:rPr>
                <w:rFonts w:hint="eastAsia" w:ascii="黑体" w:hAnsi="黑体" w:eastAsia="黑体" w:cs="黑体"/>
                <w:kern w:val="2"/>
                <w:sz w:val="21"/>
                <w:szCs w:val="24"/>
                <w:lang w:val="en-US" w:eastAsia="zh-CN" w:bidi="ar-SA"/>
              </w:rPr>
              <w:t>】：</w:t>
            </w: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游览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0"/>
                <w:lang w:val="en-US" w:eastAsia="zh-CN" w:bidi="ar-SA"/>
              </w:rPr>
              <w:t>瑶琳仙境</w:t>
            </w: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中国旅游胜地四十佳、国家4A级景区，有“全国诸洞之冠”之称的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0"/>
                <w:lang w:val="en-US" w:eastAsia="zh-CN" w:bidi="ar-SA"/>
              </w:rPr>
              <w:t>瑶琳仙境</w:t>
            </w: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（游览时间不少于2小时），在18摄氏度的天然大空调中感受清凉，参观瑰丽多姿的群石奇观，探寻亿万年前卡斯特地貌形成的奥秘。感受神奇的地下世界，景随人走，步移景换，动感十足。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39" w:lineRule="auto"/>
              <w:ind w:left="1260" w:leftChars="0" w:hanging="1260" w:hangingChars="600"/>
              <w:jc w:val="left"/>
              <w:textAlignment w:val="auto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15:00-16:00乘车前往市区，入住酒店休息</w:t>
            </w:r>
          </w:p>
          <w:p>
            <w:pPr>
              <w:pStyle w:val="4"/>
              <w:ind w:left="0" w:leftChars="0" w:firstLine="0" w:firstLineChars="0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17:30-18:30 用晚餐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  <w:t>18:30-19:00返回酒店</w:t>
            </w:r>
          </w:p>
        </w:tc>
        <w:tc>
          <w:tcPr>
            <w:tcW w:w="6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9" w:lineRule="auto"/>
              <w:ind w:left="585" w:hanging="588" w:hangingChars="279"/>
              <w:textAlignment w:val="auto"/>
              <w:rPr>
                <w:rFonts w:hint="eastAsia" w:ascii="黑体" w:hAnsi="黑体" w:cs="黑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8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9" w:lineRule="auto"/>
              <w:ind w:left="585" w:hanging="585" w:hangingChars="279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46" w:type="dxa"/>
            <w:vMerge w:val="restart"/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  <w:t>第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  <w:t>二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  <w:t>天</w:t>
            </w:r>
          </w:p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51" w:type="dxa"/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  <w:t>上午</w:t>
            </w:r>
          </w:p>
        </w:tc>
        <w:tc>
          <w:tcPr>
            <w:tcW w:w="6827" w:type="dxa"/>
            <w:shd w:val="clear" w:color="auto" w:fill="DEEBF6" w:themeFill="accent1" w:themeFillTint="3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420" w:leftChars="0" w:hanging="420" w:hangingChars="20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8: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0-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  <w:t>美美的享用早餐</w:t>
            </w:r>
          </w:p>
          <w:p>
            <w:pPr>
              <w:pStyle w:val="15"/>
              <w:spacing w:line="292" w:lineRule="exact"/>
              <w:ind w:left="1260" w:hanging="1260" w:hangingChars="600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09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:00-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乘车约40分钟，前往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参</w:t>
            </w:r>
            <w:r>
              <w:rPr>
                <w:rFonts w:hint="eastAsia" w:ascii="黑体" w:hAnsi="黑体" w:eastAsia="黑体" w:cs="黑体"/>
                <w:kern w:val="2"/>
                <w:sz w:val="21"/>
                <w:szCs w:val="24"/>
                <w:lang w:val="en-US" w:eastAsia="zh-CN" w:bidi="ar-SA"/>
              </w:rPr>
              <w:t>观【</w:t>
            </w: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严子陵钓台-富春江小三峡</w:t>
            </w:r>
            <w:r>
              <w:rPr>
                <w:rFonts w:hint="eastAsia" w:ascii="黑体" w:hAnsi="黑体" w:eastAsia="黑体" w:cs="黑体"/>
                <w:kern w:val="2"/>
                <w:sz w:val="21"/>
                <w:szCs w:val="24"/>
                <w:lang w:val="en-US" w:eastAsia="zh-CN" w:bidi="ar-SA"/>
              </w:rPr>
              <w:t>】，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t>严子陵钓台是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fldChar w:fldCharType="begin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instrText xml:space="preserve"> HYPERLINK "https://baike.so.com/doc/5584894.html" \h </w:instrTex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fldChar w:fldCharType="separate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t>东汉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fldChar w:fldCharType="end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t>古迹之一。因东汉高士严子陵拒绝光武帝刘秀之召，拒封“谏议大夫”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fldChar w:fldCharType="begin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instrText xml:space="preserve"> HYPERLINK "https://baike.so.com/doc/2072041.html" \h </w:instrTex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fldChar w:fldCharType="separate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t>之官位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fldChar w:fldCharType="end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t>，来此地隐居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fldChar w:fldCharType="begin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instrText xml:space="preserve"> HYPERLINK "https://baike.so.com/doc/5357665.html" \h </w:instrTex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fldChar w:fldCharType="separate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t>垂钓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fldChar w:fldCharType="end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  <w:t>而闻名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0" w:leftChars="0" w:firstLine="0" w:firstLineChars="0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0-1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0用中餐</w:t>
            </w:r>
          </w:p>
        </w:tc>
        <w:tc>
          <w:tcPr>
            <w:tcW w:w="676" w:type="dxa"/>
            <w:vMerge w:val="restart"/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晚</w:t>
            </w:r>
          </w:p>
        </w:tc>
        <w:tc>
          <w:tcPr>
            <w:tcW w:w="897" w:type="dxa"/>
            <w:vMerge w:val="restart"/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39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桐庐雷迪森</w:t>
            </w:r>
          </w:p>
        </w:tc>
      </w:tr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46" w:type="dxa"/>
            <w:vMerge w:val="continue"/>
            <w:shd w:val="clear" w:color="auto" w:fill="EEF9FB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51" w:type="dxa"/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下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午</w:t>
            </w:r>
          </w:p>
        </w:tc>
        <w:tc>
          <w:tcPr>
            <w:tcW w:w="6827" w:type="dxa"/>
            <w:shd w:val="clear" w:color="auto" w:fill="DEEBF6" w:themeFill="accent1" w:themeFillTint="3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1260" w:leftChars="0" w:hanging="1260" w:hangingChars="600"/>
              <w:textAlignment w:val="auto"/>
              <w:rPr>
                <w:rFonts w:hint="eastAsia" w:ascii="黑体" w:hAnsi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1</w:t>
            </w:r>
            <w:r>
              <w:rPr>
                <w:rFonts w:hint="eastAsia" w:ascii="黑体" w:hAnsi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3</w:t>
            </w: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:</w:t>
            </w:r>
            <w:r>
              <w:rPr>
                <w:rFonts w:hint="eastAsia" w:ascii="黑体" w:hAnsi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0-1</w:t>
            </w:r>
            <w:r>
              <w:rPr>
                <w:rFonts w:hint="eastAsia" w:ascii="黑体" w:hAnsi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4</w:t>
            </w: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:00</w:t>
            </w:r>
            <w:r>
              <w:rPr>
                <w:rFonts w:hint="eastAsia" w:ascii="黑体" w:hAnsi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 xml:space="preserve"> 返回酒店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14:00-15:00 午休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1260" w:leftChars="0" w:hanging="1260" w:hangingChars="600"/>
              <w:textAlignment w:val="auto"/>
              <w:rPr>
                <w:rFonts w:hint="default" w:ascii="黑体" w:hAnsi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1</w:t>
            </w:r>
            <w:r>
              <w:rPr>
                <w:rFonts w:hint="eastAsia" w:ascii="黑体" w:hAnsi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5</w:t>
            </w: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:</w:t>
            </w:r>
            <w:r>
              <w:rPr>
                <w:rFonts w:hint="eastAsia" w:ascii="黑体" w:hAnsi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0-1</w:t>
            </w:r>
            <w:r>
              <w:rPr>
                <w:rFonts w:hint="eastAsia" w:ascii="黑体" w:hAnsi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7</w:t>
            </w: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:00</w:t>
            </w:r>
            <w:r>
              <w:rPr>
                <w:rFonts w:hint="eastAsia" w:ascii="黑体" w:hAnsi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2E75B6" w:themeColor="accent1" w:themeShade="BF"/>
                <w:kern w:val="2"/>
                <w:sz w:val="21"/>
                <w:szCs w:val="21"/>
                <w:lang w:val="en-US" w:eastAsia="zh-CN" w:bidi="ar-SA"/>
              </w:rPr>
              <w:t>集体活动：桐君健步行</w:t>
            </w:r>
          </w:p>
          <w:p>
            <w:pPr>
              <w:pStyle w:val="4"/>
              <w:ind w:left="0" w:leftChars="0" w:firstLine="0" w:firstLineChars="0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17:</w:t>
            </w:r>
            <w:r>
              <w:rPr>
                <w:rFonts w:hint="eastAsia" w:ascii="黑体" w:hAnsi="黑体" w:cs="黑体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0-18:</w:t>
            </w:r>
            <w:r>
              <w:rPr>
                <w:rFonts w:hint="eastAsia" w:ascii="黑体" w:hAnsi="黑体" w:cs="黑体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0 用晚餐</w:t>
            </w:r>
            <w:bookmarkStart w:id="0" w:name="_GoBack"/>
            <w:bookmarkEnd w:id="0"/>
          </w:p>
        </w:tc>
        <w:tc>
          <w:tcPr>
            <w:tcW w:w="6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</w:trPr>
        <w:tc>
          <w:tcPr>
            <w:tcW w:w="74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  <w:t>第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  <w:t>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  <w:t>天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上午</w:t>
            </w:r>
          </w:p>
        </w:tc>
        <w:tc>
          <w:tcPr>
            <w:tcW w:w="6827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420" w:leftChars="0" w:hanging="420" w:hangingChars="200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8: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0-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9:00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  <w:t>美美的享用早餐</w:t>
            </w:r>
          </w:p>
          <w:p>
            <w:pPr>
              <w:spacing w:line="360" w:lineRule="exact"/>
              <w:ind w:right="105" w:rightChars="50"/>
              <w:jc w:val="both"/>
              <w:rPr>
                <w:rFonts w:hint="default" w:ascii="黑体" w:hAnsi="黑体" w:eastAsia="黑体" w:cs="黑体"/>
                <w:color w:val="2E75B6" w:themeColor="accent1" w:themeShade="BF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2E75B6" w:themeColor="accent1" w:themeShade="BF"/>
                <w:sz w:val="21"/>
                <w:szCs w:val="21"/>
                <w:lang w:val="en-US" w:eastAsia="zh-CN"/>
              </w:rPr>
              <w:t>09:00-09:30 核酸检测（根据现有疫情防控要求72小时内）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1260" w:leftChars="0" w:hanging="1260" w:hangingChars="600"/>
              <w:textAlignment w:val="auto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9: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0-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00 【</w:t>
            </w:r>
            <w:r>
              <w:rPr>
                <w:rFonts w:hint="eastAsia" w:ascii="黑体" w:hAnsi="黑体" w:cs="黑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大奇山国家森林公园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】</w:t>
            </w:r>
            <w:r>
              <w:rPr>
                <w:rFonts w:hint="eastAsia" w:ascii="宋体" w:hAnsi="宋体" w:cs="宋体"/>
                <w:bCs/>
                <w:szCs w:val="21"/>
              </w:rPr>
              <w:t>景区有12生肖潭，龙潭瀑布，金牛潭，观音尖，竹园寻月等景观。可以穿林海，观瀑布、踏幽谷，攀栈道，度索桥。游客朋友可以在天然的森林氧吧里，放松身心，散散步、登登山。水面尽是绿树的倒影，有几分</w:t>
            </w:r>
            <w:r>
              <w:rPr>
                <w:rFonts w:hint="eastAsia" w:ascii="宋体" w:hAnsi="宋体" w:cs="宋体"/>
                <w:bCs/>
                <w:szCs w:val="21"/>
              </w:rPr>
              <w:fldChar w:fldCharType="begin"/>
            </w:r>
            <w:r>
              <w:rPr>
                <w:rFonts w:hint="eastAsia" w:ascii="宋体" w:hAnsi="宋体" w:cs="宋体"/>
                <w:bCs/>
                <w:szCs w:val="21"/>
              </w:rPr>
              <w:instrText xml:space="preserve"> HYPERLINK "https://you.ctrip.com/sight/jiuzhaigou25/77380.html" \t "https://you.ctrip.com/sight/tonglu688/_blank" </w:instrText>
            </w:r>
            <w:r>
              <w:rPr>
                <w:rFonts w:hint="eastAsia" w:ascii="宋体" w:hAnsi="宋体" w:cs="宋体"/>
                <w:bCs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bCs/>
                <w:szCs w:val="21"/>
              </w:rPr>
              <w:t>九寨沟</w:t>
            </w:r>
            <w:r>
              <w:rPr>
                <w:rFonts w:hint="eastAsia" w:ascii="宋体" w:hAnsi="宋体" w:cs="宋体"/>
                <w:bCs/>
                <w:szCs w:val="21"/>
              </w:rPr>
              <w:fldChar w:fldCharType="end"/>
            </w:r>
            <w:r>
              <w:rPr>
                <w:rFonts w:hint="eastAsia" w:ascii="宋体" w:hAnsi="宋体" w:cs="宋体"/>
                <w:bCs/>
                <w:szCs w:val="21"/>
              </w:rPr>
              <w:t>的姿色。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420" w:leftChars="0" w:hanging="420" w:hangingChars="200"/>
              <w:textAlignment w:val="auto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11:30-12:30用中餐</w:t>
            </w:r>
          </w:p>
        </w:tc>
        <w:tc>
          <w:tcPr>
            <w:tcW w:w="6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早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39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eastAsia="zh-CN"/>
              </w:rPr>
              <w:t>中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39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eastAsia="zh-CN"/>
              </w:rPr>
              <w:t>晚</w:t>
            </w:r>
          </w:p>
        </w:tc>
        <w:tc>
          <w:tcPr>
            <w:tcW w:w="89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39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桐庐雷迪森</w:t>
            </w:r>
          </w:p>
        </w:tc>
      </w:tr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7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下午</w:t>
            </w:r>
          </w:p>
        </w:tc>
        <w:tc>
          <w:tcPr>
            <w:tcW w:w="6827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420" w:leftChars="0" w:hanging="420" w:hangingChars="200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12:30-1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乘车返回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  <w:t>酒店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休息</w:t>
            </w:r>
          </w:p>
          <w:p>
            <w:pPr>
              <w:spacing w:line="360" w:lineRule="exact"/>
              <w:ind w:right="105" w:rightChars="50"/>
              <w:jc w:val="both"/>
              <w:rPr>
                <w:rFonts w:hint="default" w:ascii="黑体" w:hAnsi="黑体" w:eastAsia="黑体" w:cs="黑体"/>
                <w:color w:val="2E75B6" w:themeColor="accent1" w:themeShade="BF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14:30-16:30</w:t>
            </w:r>
            <w:r>
              <w:rPr>
                <w:rFonts w:hint="eastAsia" w:ascii="黑体" w:hAnsi="黑体" w:eastAsia="黑体" w:cs="黑体"/>
                <w:color w:val="2E75B6" w:themeColor="accent1" w:themeShade="BF"/>
                <w:sz w:val="21"/>
                <w:szCs w:val="21"/>
                <w:lang w:val="en-US" w:eastAsia="zh-CN"/>
              </w:rPr>
              <w:t>疗养茶话会：有茗有话、有景有品</w:t>
            </w:r>
          </w:p>
          <w:p>
            <w:pPr>
              <w:spacing w:line="360" w:lineRule="exact"/>
              <w:ind w:right="105" w:rightChars="50"/>
              <w:jc w:val="both"/>
              <w:rPr>
                <w:rFonts w:hint="default" w:ascii="黑体" w:hAnsi="黑体" w:eastAsia="黑体" w:cs="黑体"/>
                <w:color w:val="2E75B6" w:themeColor="accent1" w:themeShade="BF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2E75B6" w:themeColor="accent1" w:themeShade="BF"/>
                <w:sz w:val="21"/>
                <w:szCs w:val="21"/>
                <w:lang w:val="en-US" w:eastAsia="zh-CN"/>
              </w:rPr>
              <w:t xml:space="preserve">           茶  品：绿茶、红茶、老陈皮、云南墨玫、茶点</w:t>
            </w:r>
          </w:p>
          <w:p>
            <w:pPr>
              <w:spacing w:line="360" w:lineRule="exact"/>
              <w:ind w:right="105" w:rightChars="50"/>
              <w:jc w:val="both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color w:val="2E75B6" w:themeColor="accent1" w:themeShade="BF"/>
                <w:sz w:val="21"/>
                <w:szCs w:val="21"/>
                <w:lang w:val="en-US" w:eastAsia="zh-CN"/>
              </w:rPr>
              <w:t xml:space="preserve">           娱  乐：象棋、五子棋、扑克牌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0" w:leftChars="0" w:firstLine="0" w:firstLineChars="0"/>
              <w:textAlignment w:val="auto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>17:30-18:30用晚餐， 自由活动</w:t>
            </w:r>
          </w:p>
        </w:tc>
        <w:tc>
          <w:tcPr>
            <w:tcW w:w="676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39" w:lineRule="auto"/>
              <w:ind w:left="0" w:leftChars="0" w:firstLine="210" w:firstLineChars="10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8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746" w:type="dxa"/>
            <w:vMerge w:val="restart"/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  <w:t>第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四</w:t>
            </w:r>
          </w:p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  <w:t>天</w:t>
            </w:r>
          </w:p>
        </w:tc>
        <w:tc>
          <w:tcPr>
            <w:tcW w:w="551" w:type="dxa"/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  <w:t>上午</w:t>
            </w:r>
          </w:p>
        </w:tc>
        <w:tc>
          <w:tcPr>
            <w:tcW w:w="6827" w:type="dxa"/>
            <w:shd w:val="clear" w:color="auto" w:fill="DEEBF6" w:themeFill="accent1" w:themeFillTint="3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420" w:leftChars="0" w:hanging="420" w:hangingChars="200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8:30-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9:00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  <w:t>美美的享用早餐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1260" w:leftChars="0" w:hanging="1260" w:hangingChars="600"/>
              <w:textAlignment w:val="auto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9:00-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乘车赴 【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kern w:val="2"/>
                <w:sz w:val="21"/>
                <w:szCs w:val="20"/>
                <w:lang w:val="en-US" w:eastAsia="zh-CN" w:bidi="ar-SA"/>
              </w:rPr>
              <w:t>深奥古村</w:t>
            </w: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 xml:space="preserve">】 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1260" w:leftChars="0" w:hanging="1260" w:hangingChars="600"/>
              <w:textAlignment w:val="auto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0"/>
                <w:lang w:val="en-US" w:eastAsia="zh-CN" w:bidi="ar-SA"/>
              </w:rPr>
              <w:t>10:30-11:30 因其水系而名，古村濒应家溪而建，申屠氏先人在规划村落建设时，首先规划了村落水系。深澳老街，全长200多米，南北走向，宽约3米。原为卵石铺设，后改为水泥路面，现又为卵石铺设，两侧建筑为清中后期及民国建筑，多为店铺，成为附近一带的交易中心。村内还有黄家弄、后居弄、三房弄等传统街巷。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0" w:leftChars="0" w:firstLine="0" w:firstLineChars="0"/>
              <w:textAlignment w:val="auto"/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>11:</w:t>
            </w:r>
            <w:r>
              <w:rPr>
                <w:rFonts w:hint="eastAsia" w:ascii="黑体" w:hAnsi="黑体" w:cs="黑体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>0-12:</w:t>
            </w:r>
            <w:r>
              <w:rPr>
                <w:rFonts w:hint="eastAsia" w:ascii="黑体" w:hAnsi="黑体" w:cs="黑体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 xml:space="preserve">0用中餐  </w:t>
            </w:r>
          </w:p>
        </w:tc>
        <w:tc>
          <w:tcPr>
            <w:tcW w:w="676" w:type="dxa"/>
            <w:vMerge w:val="restart"/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早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39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eastAsia="zh-CN"/>
              </w:rPr>
              <w:t>中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39" w:lineRule="auto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cs="黑体"/>
                <w:color w:val="auto"/>
                <w:kern w:val="0"/>
                <w:sz w:val="21"/>
                <w:szCs w:val="21"/>
                <w:lang w:val="en-US" w:eastAsia="zh-CN"/>
              </w:rPr>
              <w:t>晚</w:t>
            </w:r>
          </w:p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7" w:type="dxa"/>
            <w:vMerge w:val="restart"/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746" w:type="dxa"/>
            <w:vMerge w:val="continue"/>
            <w:shd w:val="clear" w:color="auto" w:fill="EEF9FB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51" w:type="dxa"/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cs="黑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下午</w:t>
            </w:r>
          </w:p>
        </w:tc>
        <w:tc>
          <w:tcPr>
            <w:tcW w:w="6827" w:type="dxa"/>
            <w:shd w:val="clear" w:color="auto" w:fill="DEEBF6" w:themeFill="accent1" w:themeFillTint="3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left="585" w:leftChars="0" w:hanging="585" w:hangingChars="279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>乘车返回杭州。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6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beforeLines="50" w:line="339" w:lineRule="auto"/>
              <w:jc w:val="center"/>
              <w:textAlignment w:val="auto"/>
              <w:rPr>
                <w:rFonts w:hint="eastAsia" w:ascii="黑体" w:hAnsi="黑体" w:cs="黑体"/>
                <w:color w:val="auto"/>
                <w:sz w:val="21"/>
                <w:szCs w:val="21"/>
                <w:lang w:val="en-US" w:eastAsia="zh-CN"/>
              </w:rPr>
            </w:pPr>
          </w:p>
        </w:tc>
      </w:tr>
    </w:tbl>
    <w:p/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rPr>
          <w:rFonts w:hint="eastAsia" w:ascii="黑体" w:hAnsi="黑体" w:eastAsia="黑体" w:cs="黑体"/>
          <w:b/>
          <w:bCs/>
          <w:kern w:val="2"/>
          <w:sz w:val="21"/>
          <w:szCs w:val="21"/>
          <w:lang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21"/>
          <w:szCs w:val="21"/>
          <w:lang w:eastAsia="zh-CN" w:bidi="ar-SA"/>
        </w:rPr>
        <w:br w:type="page"/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b/>
          <w:bCs/>
          <w:kern w:val="2"/>
          <w:sz w:val="21"/>
          <w:szCs w:val="21"/>
          <w:lang w:eastAsia="zh-CN" w:bidi="ar-SA"/>
        </w:rPr>
        <w:t>2、</w:t>
      </w:r>
      <w:r>
        <w:rPr>
          <w:rFonts w:hint="eastAsia" w:ascii="黑体" w:hAnsi="黑体" w:eastAsia="黑体" w:cs="黑体"/>
          <w:b/>
          <w:bCs/>
          <w:kern w:val="2"/>
          <w:sz w:val="21"/>
          <w:szCs w:val="21"/>
          <w:lang w:val="en-US" w:eastAsia="zh-Hans" w:bidi="ar-SA"/>
        </w:rPr>
        <w:t>沿途景点</w:t>
      </w:r>
    </w:p>
    <w:tbl>
      <w:tblPr>
        <w:tblStyle w:val="11"/>
        <w:tblpPr w:leftFromText="180" w:rightFromText="180" w:vertAnchor="text" w:horzAnchor="page" w:tblpX="962" w:tblpY="151"/>
        <w:tblOverlap w:val="never"/>
        <w:tblW w:w="10189" w:type="dxa"/>
        <w:tblInd w:w="0" w:type="dxa"/>
        <w:tblBorders>
          <w:top w:val="dotDotDash" w:color="000000" w:sz="4" w:space="0"/>
          <w:left w:val="dotDotDash" w:color="000000" w:sz="4" w:space="0"/>
          <w:bottom w:val="dotDotDash" w:color="000000" w:sz="4" w:space="0"/>
          <w:right w:val="dotDotDash" w:color="000000" w:sz="4" w:space="0"/>
          <w:insideH w:val="dotDotDash" w:color="000000" w:sz="4" w:space="0"/>
          <w:insideV w:val="dotDotDash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51"/>
        <w:gridCol w:w="5082"/>
      </w:tblGrid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6" w:type="dxa"/>
            <w:shd w:val="clear" w:color="auto" w:fill="DEEBF6" w:themeFill="accent1" w:themeFillTint="3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4351" w:type="dxa"/>
            <w:shd w:val="clear" w:color="auto" w:fill="DEEBF6" w:themeFill="accent1" w:themeFillTint="3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b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cs="黑体"/>
                <w:b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景点</w:t>
            </w:r>
            <w:r>
              <w:rPr>
                <w:rFonts w:hint="eastAsia" w:ascii="黑体" w:hAnsi="黑体" w:cs="黑体"/>
                <w:b/>
                <w:bCs w:val="0"/>
                <w:color w:val="000000"/>
                <w:kern w:val="0"/>
                <w:sz w:val="21"/>
                <w:szCs w:val="21"/>
                <w:lang w:val="en-US" w:eastAsia="zh-Hans" w:bidi="ar-SA"/>
              </w:rPr>
              <w:t>图片</w:t>
            </w:r>
          </w:p>
        </w:tc>
        <w:tc>
          <w:tcPr>
            <w:tcW w:w="5082" w:type="dxa"/>
            <w:shd w:val="clear" w:color="auto" w:fill="DEEBF6" w:themeFill="accent1" w:themeFillTint="3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b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cs="黑体"/>
                <w:b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景点</w:t>
            </w:r>
            <w:r>
              <w:rPr>
                <w:rFonts w:hint="eastAsia" w:ascii="黑体" w:hAnsi="黑体" w:cs="黑体"/>
                <w:b/>
                <w:bCs w:val="0"/>
                <w:color w:val="000000"/>
                <w:kern w:val="0"/>
                <w:sz w:val="21"/>
                <w:szCs w:val="21"/>
                <w:lang w:val="en-US" w:eastAsia="zh-Hans" w:bidi="ar-SA"/>
              </w:rPr>
              <w:t>介绍</w:t>
            </w:r>
          </w:p>
        </w:tc>
      </w:tr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</w:trPr>
        <w:tc>
          <w:tcPr>
            <w:tcW w:w="756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黑体" w:hAnsi="黑体" w:eastAsia="黑体" w:cs="黑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cs="黑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351" w:type="dxa"/>
            <w:shd w:val="clear" w:color="auto" w:fill="auto"/>
            <w:noWrap w:val="0"/>
            <w:vAlign w:val="center"/>
          </w:tcPr>
          <w:p>
            <w:pPr>
              <w:widowControl w:val="0"/>
              <w:spacing w:line="240" w:lineRule="auto"/>
              <w:jc w:val="left"/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000000"/>
                <w:spacing w:val="0"/>
                <w:kern w:val="2"/>
                <w:sz w:val="22"/>
                <w:szCs w:val="22"/>
                <w:shd w:val="clear" w:color="auto" w:fill="FFFFFF"/>
                <w:lang w:val="en-US" w:eastAsia="zh-Hans" w:bidi="ar-SA"/>
              </w:rPr>
            </w:pPr>
            <w:r>
              <w:rPr>
                <w:rFonts w:ascii="Times New Roman" w:hAnsi="Times New Roman" w:eastAsia="黑体" w:cs="Times New Roman"/>
                <w:sz w:val="21"/>
              </w:rPr>
              <w:drawing>
                <wp:inline distT="0" distB="0" distL="114300" distR="114300">
                  <wp:extent cx="2670175" cy="1489710"/>
                  <wp:effectExtent l="0" t="0" r="12065" b="3810"/>
                  <wp:docPr id="446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175" cy="148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2" w:type="dxa"/>
            <w:shd w:val="clear" w:color="auto" w:fill="auto"/>
            <w:noWrap w:val="0"/>
            <w:vAlign w:val="center"/>
          </w:tcPr>
          <w:p>
            <w:pPr>
              <w:widowControl w:val="0"/>
              <w:spacing w:after="120"/>
              <w:jc w:val="left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napToGrid w:val="0"/>
                <w:color w:val="000000"/>
                <w:kern w:val="2"/>
                <w:sz w:val="21"/>
                <w:szCs w:val="20"/>
                <w:lang w:val="en-US" w:eastAsia="zh-CN" w:bidi="ar-SA"/>
              </w:rPr>
              <w:t>瑶琳仙境（4A）</w:t>
            </w:r>
            <w:r>
              <w:rPr>
                <w:rFonts w:hint="eastAsia" w:ascii="黑体" w:hAnsi="黑体" w:eastAsia="黑体" w:cs="黑体"/>
                <w:b/>
                <w:color w:val="auto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宋体" w:hAnsi="宋体" w:eastAsia="黑体" w:cs="Arial"/>
                <w:b w:val="0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是华东沿海中部亚热带湿润区喀斯特洞穴的典型代表，以曲折幽深的洞势地貌和溶石景致被誉为全国溶洞之冠。</w:t>
            </w:r>
            <w:r>
              <w:rPr>
                <w:rFonts w:hint="eastAsia" w:ascii="黑体" w:hAnsi="黑体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瑰丽多姿的群石奇观，探寻亿万年前卡斯特地貌形成的奥秘。感受神奇的地下世界，景随人走，步移景换，动感十足。</w:t>
            </w:r>
          </w:p>
        </w:tc>
      </w:tr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</w:trPr>
        <w:tc>
          <w:tcPr>
            <w:tcW w:w="756" w:type="dxa"/>
            <w:shd w:val="clear" w:color="auto" w:fill="FFFFFF"/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黑体" w:hAnsi="黑体" w:cs="黑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cs="黑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4351" w:type="dxa"/>
            <w:shd w:val="clear" w:color="auto" w:fill="FFFFFF"/>
            <w:noWrap w:val="0"/>
            <w:vAlign w:val="center"/>
          </w:tcPr>
          <w:p>
            <w:pPr>
              <w:widowControl w:val="0"/>
              <w:spacing w:line="24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pacing w:val="-11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2642870" cy="1440815"/>
                  <wp:effectExtent l="0" t="0" r="8890" b="6985"/>
                  <wp:docPr id="3" name="图片 3" descr="微信图片_20200601112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0060111222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870" cy="144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2" w:type="dxa"/>
            <w:shd w:val="clear" w:color="auto" w:fill="FFFFFF"/>
            <w:noWrap w:val="0"/>
            <w:vAlign w:val="center"/>
          </w:tcPr>
          <w:p>
            <w:pPr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宋体" w:cs="黑体"/>
                <w:b/>
                <w:color w:val="auto"/>
                <w:kern w:val="0"/>
                <w:sz w:val="21"/>
                <w:szCs w:val="21"/>
                <w:lang w:val="en-US" w:eastAsia="zh-CN" w:bidi="ar-SA"/>
              </w:rPr>
              <w:t>严子陵钓台-富春江小三峡</w:t>
            </w:r>
            <w:r>
              <w:rPr>
                <w:rFonts w:hint="eastAsia" w:ascii="黑体" w:hAnsi="黑体" w:cs="黑体"/>
                <w:b/>
                <w:color w:val="auto"/>
                <w:kern w:val="0"/>
                <w:sz w:val="21"/>
                <w:szCs w:val="21"/>
                <w:lang w:val="en-US" w:eastAsia="zh-CN" w:bidi="ar-SA"/>
              </w:rPr>
              <w:t>：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是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instrText xml:space="preserve"> HYPERLINK "https://baike.so.com/doc/5584894.html" \t "_blank" </w:instrTex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东汉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fldChar w:fldCharType="end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古迹之一。因东汉高士严子陵拒绝光武帝刘秀之召，拒封“谏议大夫”之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instrText xml:space="preserve"> HYPERLINK "https://baike.so.com/doc/2072041.html" \t "_blank" </w:instrTex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官位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fldChar w:fldCharType="end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，来此地隐居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instrText xml:space="preserve"> HYPERLINK "https://baike.so.com/doc/5357665.html" \t "_blank" </w:instrTex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垂钓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fldChar w:fldCharType="end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而闻名古今，如今已成为桐庐县标志性历史文化旅游的典范。</w:t>
            </w:r>
          </w:p>
          <w:p>
            <w:pPr>
              <w:widowControl w:val="0"/>
              <w:spacing w:after="12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756" w:type="dxa"/>
            <w:shd w:val="clear" w:color="auto" w:fill="FFFFFF"/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黑体" w:hAnsi="黑体" w:cs="黑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cs="黑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4351" w:type="dxa"/>
            <w:shd w:val="clear" w:color="auto" w:fill="FFFFFF"/>
            <w:noWrap w:val="0"/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2618105" cy="1526540"/>
                  <wp:effectExtent l="0" t="0" r="3175" b="12700"/>
                  <wp:docPr id="5" name="图片 4" descr="图片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图片1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105" cy="152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宋体" w:cs="黑体"/>
                <w:b/>
                <w:color w:val="auto"/>
                <w:kern w:val="0"/>
                <w:sz w:val="21"/>
                <w:szCs w:val="21"/>
                <w:lang w:val="en-US" w:eastAsia="zh-CN" w:bidi="ar-SA"/>
              </w:rPr>
              <w:t>芦茨村：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青山、绿树、芳草、鲜花影落在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instrText xml:space="preserve"> HYPERLINK "https://baike.baidu.com/item/%E5%AF%8C%E6%98%A5%E6%B1%9F/427502" \t "https://baike.baidu.com/item/%E8%8A%A6%E8%8C%A8%E6%B9%BE/_blank" </w:instrTex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富春江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fldChar w:fldCharType="end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水里，清晰得没有界线，从眼睛到心灵，一醉芬芳。这只是阳春三月间对桃源仙境般的芦茨的匆匆一瞥。“深山古树清风，小桥流水农家”之地，集峡谷、平湖、孤屿、悬崖、瀑布、奇松于一身，具有山势峻峭、水色澄碧、山居民风等特色，这就是富春江畔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instrText xml:space="preserve"> HYPERLINK "https://baike.baidu.com/item/%E8%8A%A6%E8%8C%A8%E6%9D%91/8778278" \t "https://baike.baidu.com/item/%E8%8A%A6%E8%8C%A8%E6%B9%BE/_blank" </w:instrTex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芦茨村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fldChar w:fldCharType="end"/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。2009年，芦茨被列入杭州“风情小镇”创建点之一。</w:t>
            </w:r>
          </w:p>
          <w:p>
            <w:pPr>
              <w:widowControl w:val="0"/>
              <w:spacing w:after="12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</w:trPr>
        <w:tc>
          <w:tcPr>
            <w:tcW w:w="756" w:type="dxa"/>
            <w:shd w:val="clear" w:color="auto" w:fill="FFFFFF"/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黑体" w:hAnsi="黑体" w:cs="黑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cs="黑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4351" w:type="dxa"/>
            <w:shd w:val="clear" w:color="auto" w:fill="FFFFFF"/>
            <w:noWrap w:val="0"/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drawing>
                <wp:inline distT="0" distB="0" distL="114300" distR="114300">
                  <wp:extent cx="2640965" cy="1932305"/>
                  <wp:effectExtent l="0" t="0" r="10795" b="0"/>
                  <wp:docPr id="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6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2" w:type="dxa"/>
            <w:shd w:val="clear" w:color="auto" w:fill="FFFFFF"/>
            <w:noWrap w:val="0"/>
            <w:vAlign w:val="center"/>
          </w:tcPr>
          <w:p>
            <w:pPr>
              <w:widowControl w:val="0"/>
              <w:spacing w:after="120"/>
              <w:jc w:val="left"/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大奇山国家森林公园：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大奇山国家森林公园在桐庐城区的东南部，相比其它城市中的山峰，大奇山的景色要秀气得多。山林里除了茂密的植被，还有大大小小许多的瀑布和溪流，空气清新，是个适合休闲游览的地方。</w:t>
            </w:r>
          </w:p>
        </w:tc>
      </w:tr>
      <w:tr>
        <w:tblPrEx>
          <w:tblBorders>
            <w:top w:val="dotDotDash" w:color="000000" w:sz="4" w:space="0"/>
            <w:left w:val="dotDotDash" w:color="000000" w:sz="4" w:space="0"/>
            <w:bottom w:val="dotDotDash" w:color="000000" w:sz="4" w:space="0"/>
            <w:right w:val="dotDotDash" w:color="000000" w:sz="4" w:space="0"/>
            <w:insideH w:val="dotDotDash" w:color="000000" w:sz="4" w:space="0"/>
            <w:insideV w:val="dotDotDash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</w:trPr>
        <w:tc>
          <w:tcPr>
            <w:tcW w:w="756" w:type="dxa"/>
            <w:shd w:val="clear" w:color="auto" w:fill="FFFFFF"/>
            <w:noWrap w:val="0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default" w:ascii="黑体" w:hAnsi="黑体" w:cs="黑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cs="黑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4351" w:type="dxa"/>
            <w:shd w:val="clear" w:color="auto" w:fill="FFFFFF"/>
            <w:noWrap w:val="0"/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2576195" cy="1512570"/>
                  <wp:effectExtent l="0" t="0" r="14605" b="11430"/>
                  <wp:docPr id="7" name="图片 6" descr="图片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 descr="图片1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195" cy="151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2" w:type="dxa"/>
            <w:shd w:val="clear" w:color="auto" w:fill="FFFFFF"/>
            <w:noWrap w:val="0"/>
            <w:vAlign w:val="center"/>
          </w:tcPr>
          <w:p>
            <w:pPr>
              <w:widowControl w:val="0"/>
              <w:spacing w:after="120"/>
              <w:jc w:val="left"/>
              <w:rPr>
                <w:rFonts w:hint="eastAsia" w:ascii="Times New Roman" w:hAnsi="Times New Roman" w:eastAsia="黑体" w:cs="Times New Roman"/>
                <w:b/>
                <w:bCs/>
                <w:snapToGrid w:val="0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深澳古村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  <w:t>，因其水系而出名，千年前排水系统沿用至今，800米暗渠贯穿整村。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66CC"/>
                <w:spacing w:val="0"/>
                <w:sz w:val="18"/>
                <w:szCs w:val="18"/>
                <w:shd w:val="clear" w:color="auto" w:fill="FFFFFF"/>
                <w:vertAlign w:val="baseline"/>
              </w:rPr>
              <w:t> 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  <w:t>深澳古村是第一批浙江省3A级景区村庄，位于4A级景区江南古村落群内，</w:t>
            </w:r>
          </w:p>
        </w:tc>
      </w:tr>
    </w:tbl>
    <w:p>
      <w:pPr>
        <w:pStyle w:val="4"/>
        <w:bidi w:val="0"/>
        <w:rPr>
          <w:rFonts w:hint="eastAsia"/>
          <w:b/>
          <w:bCs/>
          <w:lang w:val="en-US" w:eastAsia="zh-CN"/>
        </w:rPr>
      </w:pPr>
    </w:p>
    <w:p>
      <w:pPr>
        <w:pStyle w:val="4"/>
        <w:numPr>
          <w:ilvl w:val="0"/>
          <w:numId w:val="1"/>
        </w:numPr>
        <w:bidi w:val="0"/>
        <w:ind w:left="0" w:leftChars="0" w:firstLine="0" w:firstLineChars="0"/>
        <w:rPr>
          <w:rFonts w:hint="eastAsia"/>
          <w:b/>
          <w:bCs/>
          <w:lang w:val="en-US" w:eastAsia="zh-Hans"/>
        </w:rPr>
      </w:pPr>
      <w:r>
        <w:rPr>
          <w:rFonts w:hint="eastAsia"/>
          <w:b/>
          <w:bCs/>
          <w:lang w:val="en-US" w:eastAsia="zh-Hans"/>
        </w:rPr>
        <w:t>住宿信息</w:t>
      </w:r>
    </w:p>
    <w:p>
      <w:pPr>
        <w:numPr>
          <w:ilvl w:val="0"/>
          <w:numId w:val="0"/>
        </w:numPr>
        <w:ind w:left="-920" w:leftChars="-438" w:firstLine="919" w:firstLineChars="438"/>
      </w:pPr>
      <w:r>
        <w:drawing>
          <wp:inline distT="0" distB="0" distL="114300" distR="114300">
            <wp:extent cx="6737350" cy="2112645"/>
            <wp:effectExtent l="0" t="0" r="13970" b="5715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0" w:leftChars="0" w:firstLine="0" w:firstLineChars="0"/>
      </w:pPr>
      <w:r>
        <w:drawing>
          <wp:inline distT="0" distB="0" distL="114300" distR="114300">
            <wp:extent cx="6758940" cy="3346450"/>
            <wp:effectExtent l="0" t="0" r="7620" b="635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5894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6330950" cy="3417570"/>
            <wp:effectExtent l="0" t="0" r="8890" b="1143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30950" cy="341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</w:p>
    <w:p>
      <w:pPr>
        <w:pStyle w:val="4"/>
      </w:pPr>
      <w:r>
        <w:drawing>
          <wp:inline distT="0" distB="0" distL="114300" distR="114300">
            <wp:extent cx="6186805" cy="3661410"/>
            <wp:effectExtent l="0" t="0" r="635" b="11430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366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</w:pPr>
    </w:p>
    <w:p/>
    <w:p>
      <w:pPr>
        <w:pStyle w:val="4"/>
      </w:pPr>
    </w:p>
    <w:p/>
    <w:p>
      <w:pPr>
        <w:pStyle w:val="4"/>
      </w:pPr>
    </w:p>
    <w:p>
      <w:r>
        <w:drawing>
          <wp:inline distT="0" distB="0" distL="114300" distR="114300">
            <wp:extent cx="6074410" cy="4222115"/>
            <wp:effectExtent l="0" t="0" r="6350" b="14605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0" w:leftChars="0" w:firstLine="0" w:firstLineChars="0"/>
      </w:pPr>
      <w:r>
        <w:drawing>
          <wp:inline distT="0" distB="0" distL="114300" distR="114300">
            <wp:extent cx="6076315" cy="3912235"/>
            <wp:effectExtent l="0" t="0" r="4445" b="4445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76315" cy="39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</w:pPr>
    </w:p>
    <w:p>
      <w:r>
        <w:drawing>
          <wp:inline distT="0" distB="0" distL="114300" distR="114300">
            <wp:extent cx="6021070" cy="4039870"/>
            <wp:effectExtent l="0" t="0" r="13970" b="13970"/>
            <wp:docPr id="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21070" cy="403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</w:p>
    <w:p>
      <w:r>
        <w:drawing>
          <wp:inline distT="0" distB="0" distL="114300" distR="114300">
            <wp:extent cx="6113780" cy="3915410"/>
            <wp:effectExtent l="0" t="0" r="12700" b="1270"/>
            <wp:docPr id="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39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</w:p>
    <w:p/>
    <w:p>
      <w:pPr>
        <w:pStyle w:val="4"/>
        <w:ind w:left="0" w:leftChars="0" w:firstLine="0" w:firstLineChars="0"/>
      </w:pPr>
      <w:r>
        <w:drawing>
          <wp:inline distT="0" distB="0" distL="114300" distR="114300">
            <wp:extent cx="6317615" cy="3942715"/>
            <wp:effectExtent l="0" t="0" r="6985" b="4445"/>
            <wp:docPr id="2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17615" cy="394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"/>
      </w:pPr>
    </w:p>
    <w:p>
      <w:pPr>
        <w:pStyle w:val="2"/>
      </w:pPr>
    </w:p>
    <w:p>
      <w:r>
        <w:br w:type="page"/>
      </w:r>
    </w:p>
    <w:p>
      <w:pPr>
        <w:spacing w:before="72" w:line="218" w:lineRule="auto"/>
        <w:ind w:left="3343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pacing w:val="-1"/>
          <w:sz w:val="36"/>
          <w:szCs w:val="36"/>
          <w:lang w:val="en-US" w:eastAsia="zh-CN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桐庐</w:t>
      </w:r>
      <w:r>
        <w:rPr>
          <w:rFonts w:ascii="黑体" w:hAnsi="黑体" w:eastAsia="黑体" w:cs="黑体"/>
          <w:spacing w:val="-1"/>
          <w:sz w:val="36"/>
          <w:szCs w:val="36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四日疗休养</w:t>
      </w:r>
      <w:r>
        <w:rPr>
          <w:rFonts w:hint="eastAsia" w:ascii="黑体" w:hAnsi="黑体" w:eastAsia="黑体" w:cs="黑体"/>
          <w:spacing w:val="-1"/>
          <w:sz w:val="36"/>
          <w:szCs w:val="36"/>
          <w:lang w:val="en-US" w:eastAsia="zh-CN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费用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一、服务标准</w:t>
      </w:r>
    </w:p>
    <w:tbl>
      <w:tblPr>
        <w:tblStyle w:val="11"/>
        <w:tblpPr w:leftFromText="180" w:rightFromText="180" w:vertAnchor="text" w:horzAnchor="page" w:tblpX="1103" w:tblpY="3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2110"/>
        <w:gridCol w:w="5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0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spacing w:val="-2"/>
                <w:sz w:val="24"/>
                <w:szCs w:val="24"/>
                <w:vertAlign w:val="baseline"/>
                <w:lang w:val="en-US" w:eastAsia="zh-CN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vertAlign w:val="baseline"/>
                <w:lang w:val="en-US" w:eastAsia="zh-CN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疗休养经费</w:t>
            </w:r>
          </w:p>
        </w:tc>
        <w:tc>
          <w:tcPr>
            <w:tcW w:w="8395" w:type="dxa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pacing w:val="-2"/>
                <w:sz w:val="24"/>
                <w:szCs w:val="24"/>
                <w:vertAlign w:val="baseline"/>
                <w:lang w:val="en-US" w:eastAsia="zh-CN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vertAlign w:val="baseline"/>
                <w:lang w:val="en-US" w:eastAsia="zh-CN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2000元/人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04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 号</w:t>
            </w:r>
          </w:p>
        </w:tc>
        <w:tc>
          <w:tcPr>
            <w:tcW w:w="2203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 目</w:t>
            </w:r>
          </w:p>
        </w:tc>
        <w:tc>
          <w:tcPr>
            <w:tcW w:w="6192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04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203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门 票</w:t>
            </w:r>
          </w:p>
        </w:tc>
        <w:tc>
          <w:tcPr>
            <w:tcW w:w="6192" w:type="dxa"/>
            <w:vAlign w:val="center"/>
          </w:tcPr>
          <w:p>
            <w:pPr>
              <w:widowControl w:val="0"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全程景点首道大门票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04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203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 车</w:t>
            </w:r>
          </w:p>
        </w:tc>
        <w:tc>
          <w:tcPr>
            <w:tcW w:w="6192" w:type="dxa"/>
            <w:vAlign w:val="center"/>
          </w:tcPr>
          <w:p>
            <w:pPr>
              <w:widowControl w:val="0"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全程空调旅游大巴车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04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203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餐 费</w:t>
            </w:r>
          </w:p>
        </w:tc>
        <w:tc>
          <w:tcPr>
            <w:tcW w:w="6192" w:type="dxa"/>
            <w:vAlign w:val="center"/>
          </w:tcPr>
          <w:p>
            <w:pPr>
              <w:widowControl w:val="0"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酒店含自助双早，中餐 80元/人*4 正，晚餐60元/人*3 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04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203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 宿</w:t>
            </w:r>
          </w:p>
        </w:tc>
        <w:tc>
          <w:tcPr>
            <w:tcW w:w="6192" w:type="dxa"/>
            <w:vAlign w:val="center"/>
          </w:tcPr>
          <w:p>
            <w:pPr>
              <w:widowControl w:val="0"/>
              <w:spacing w:line="36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参考酒店：桐庐雷迪森度假酒店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04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203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 服</w:t>
            </w:r>
          </w:p>
        </w:tc>
        <w:tc>
          <w:tcPr>
            <w:tcW w:w="6192" w:type="dxa"/>
            <w:vAlign w:val="center"/>
          </w:tcPr>
          <w:p>
            <w:pPr>
              <w:widowControl w:val="0"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全程导游服务，含司陪住宿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04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203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 险</w:t>
            </w:r>
          </w:p>
        </w:tc>
        <w:tc>
          <w:tcPr>
            <w:tcW w:w="6192" w:type="dxa"/>
            <w:vAlign w:val="center"/>
          </w:tcPr>
          <w:p>
            <w:pPr>
              <w:widowControl w:val="0"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旅游人身意外伤害综合保险 100万元/人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04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203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 他</w:t>
            </w:r>
          </w:p>
        </w:tc>
        <w:tc>
          <w:tcPr>
            <w:tcW w:w="6192" w:type="dxa"/>
            <w:vAlign w:val="center"/>
          </w:tcPr>
          <w:p>
            <w:pPr>
              <w:widowControl w:val="0"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旅游帽、口罩、酒精湿巾、干纸巾、 免洗洗手液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504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203" w:type="dxa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 费</w:t>
            </w:r>
          </w:p>
        </w:tc>
        <w:tc>
          <w:tcPr>
            <w:tcW w:w="6192" w:type="dxa"/>
            <w:vAlign w:val="center"/>
          </w:tcPr>
          <w:p>
            <w:pPr>
              <w:widowControl w:val="0"/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旅行社服务综费</w:t>
            </w:r>
          </w:p>
        </w:tc>
      </w:tr>
    </w:tbl>
    <w:p>
      <w:pPr>
        <w:spacing w:line="313" w:lineRule="auto"/>
        <w:rPr>
          <w:rFonts w:ascii="Arial"/>
          <w:sz w:val="21"/>
        </w:rPr>
      </w:pPr>
    </w:p>
    <w:p>
      <w:pPr>
        <w:numPr>
          <w:ilvl w:val="0"/>
          <w:numId w:val="0"/>
        </w:numPr>
        <w:spacing w:before="78" w:line="219" w:lineRule="auto"/>
        <w:ind w:leftChars="0"/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二、</w:t>
      </w:r>
      <w:r>
        <w:rPr>
          <w:rFonts w:ascii="黑体" w:hAnsi="黑体" w:eastAsia="黑体" w:cs="黑体"/>
          <w:spacing w:val="-2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家属</w:t>
      </w:r>
      <w:r>
        <w:rPr>
          <w:rFonts w:hint="eastAsia" w:ascii="黑体" w:hAnsi="黑体" w:eastAsia="黑体" w:cs="黑体"/>
          <w:spacing w:val="-2"/>
          <w:sz w:val="24"/>
          <w:szCs w:val="24"/>
          <w:lang w:val="en-US" w:eastAsia="zh-CN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收费标准</w:t>
      </w:r>
    </w:p>
    <w:tbl>
      <w:tblPr>
        <w:tblStyle w:val="10"/>
        <w:tblpPr w:leftFromText="180" w:rightFromText="180" w:vertAnchor="text" w:horzAnchor="page" w:tblpXSpec="center" w:tblpY="485"/>
        <w:tblOverlap w:val="never"/>
        <w:tblW w:w="993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5"/>
        <w:gridCol w:w="2898"/>
        <w:gridCol w:w="1275"/>
        <w:gridCol w:w="484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  <w:jc w:val="center"/>
        </w:trPr>
        <w:tc>
          <w:tcPr>
            <w:tcW w:w="382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成人及1.5米以上占床儿童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snapToGrid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2000元/人</w:t>
            </w:r>
          </w:p>
        </w:tc>
        <w:tc>
          <w:tcPr>
            <w:tcW w:w="48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全含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  <w:jc w:val="center"/>
        </w:trPr>
        <w:tc>
          <w:tcPr>
            <w:tcW w:w="92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20" w:lineRule="exact"/>
              <w:ind w:left="105" w:leftChars="50" w:right="105" w:rightChars="5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儿 童</w:t>
            </w:r>
          </w:p>
        </w:tc>
        <w:tc>
          <w:tcPr>
            <w:tcW w:w="2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1米（不含）以下儿童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20元/人</w:t>
            </w:r>
          </w:p>
        </w:tc>
        <w:tc>
          <w:tcPr>
            <w:tcW w:w="48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保险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1" w:hRule="atLeast"/>
          <w:jc w:val="center"/>
        </w:trPr>
        <w:tc>
          <w:tcPr>
            <w:tcW w:w="92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20" w:lineRule="exact"/>
              <w:ind w:left="105" w:leftChars="50" w:right="105" w:rightChars="5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1-1.2米儿童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580元/人</w:t>
            </w:r>
          </w:p>
        </w:tc>
        <w:tc>
          <w:tcPr>
            <w:tcW w:w="48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138" w:line="398" w:lineRule="exact"/>
              <w:ind w:left="137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position w:val="14"/>
                <w:sz w:val="21"/>
                <w:szCs w:val="21"/>
              </w:rPr>
              <w:t>含半餐、保险、车费、导服，综费、不占床(</w:t>
            </w:r>
            <w:r>
              <w:rPr>
                <w:rFonts w:hint="eastAsia" w:asciiTheme="minorEastAsia" w:hAnsiTheme="minorEastAsia" w:eastAsiaTheme="minorEastAsia" w:cstheme="minorEastAsia"/>
                <w:spacing w:val="5"/>
                <w:position w:val="14"/>
                <w:sz w:val="21"/>
                <w:szCs w:val="21"/>
                <w:lang w:val="en-US" w:eastAsia="zh-CN"/>
              </w:rPr>
              <w:t>不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position w:val="14"/>
                <w:sz w:val="21"/>
                <w:szCs w:val="21"/>
              </w:rPr>
              <w:t>含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早餐) ，门票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atLeast"/>
          <w:jc w:val="center"/>
        </w:trPr>
        <w:tc>
          <w:tcPr>
            <w:tcW w:w="92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20" w:lineRule="exact"/>
              <w:ind w:left="105" w:leftChars="50" w:right="105" w:rightChars="5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1.2-1.5米儿童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900元/人</w:t>
            </w:r>
          </w:p>
        </w:tc>
        <w:tc>
          <w:tcPr>
            <w:tcW w:w="48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138" w:line="398" w:lineRule="exact"/>
              <w:ind w:left="137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position w:val="14"/>
                <w:sz w:val="21"/>
                <w:szCs w:val="21"/>
              </w:rPr>
              <w:t>含</w:t>
            </w:r>
            <w:r>
              <w:rPr>
                <w:rFonts w:hint="eastAsia" w:asciiTheme="minorEastAsia" w:hAnsiTheme="minorEastAsia" w:eastAsiaTheme="minorEastAsia" w:cstheme="minorEastAsia"/>
                <w:spacing w:val="5"/>
                <w:position w:val="14"/>
                <w:sz w:val="21"/>
                <w:szCs w:val="21"/>
                <w:lang w:val="en-US" w:eastAsia="zh-CN"/>
              </w:rPr>
              <w:t>全</w:t>
            </w:r>
            <w:r>
              <w:rPr>
                <w:rFonts w:hint="eastAsia" w:asciiTheme="minorEastAsia" w:hAnsiTheme="minorEastAsia" w:eastAsiaTheme="minorEastAsia" w:cstheme="minorEastAsia"/>
                <w:spacing w:val="5"/>
                <w:position w:val="14"/>
                <w:sz w:val="21"/>
                <w:szCs w:val="21"/>
              </w:rPr>
              <w:t>餐、保险、车费、导服，综费、不占床(</w:t>
            </w:r>
            <w:r>
              <w:rPr>
                <w:rFonts w:hint="eastAsia" w:asciiTheme="minorEastAsia" w:hAnsiTheme="minorEastAsia" w:eastAsiaTheme="minorEastAsia" w:cstheme="minorEastAsia"/>
                <w:spacing w:val="5"/>
                <w:position w:val="14"/>
                <w:sz w:val="21"/>
                <w:szCs w:val="21"/>
                <w:lang w:val="en-US" w:eastAsia="zh-CN"/>
              </w:rPr>
              <w:t>不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position w:val="14"/>
                <w:sz w:val="21"/>
                <w:szCs w:val="21"/>
              </w:rPr>
              <w:t>含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早餐) ，门票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atLeast"/>
          <w:jc w:val="center"/>
        </w:trPr>
        <w:tc>
          <w:tcPr>
            <w:tcW w:w="92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20" w:lineRule="exact"/>
              <w:ind w:left="105" w:leftChars="50" w:right="105" w:rightChars="5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1.5米以上不占床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1160元/人</w:t>
            </w:r>
          </w:p>
        </w:tc>
        <w:tc>
          <w:tcPr>
            <w:tcW w:w="48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除床位外，其余全含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atLeast"/>
          <w:jc w:val="center"/>
        </w:trPr>
        <w:tc>
          <w:tcPr>
            <w:tcW w:w="92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20" w:lineRule="exact"/>
              <w:ind w:left="105" w:leftChars="50" w:right="105" w:rightChars="5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211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儿童报名请标注身高及是否占床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atLeast"/>
          <w:jc w:val="center"/>
        </w:trPr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20" w:lineRule="exact"/>
              <w:ind w:left="105" w:leftChars="50" w:right="105" w:rightChars="50"/>
              <w:jc w:val="center"/>
              <w:rPr>
                <w:rFonts w:hint="default" w:asciiTheme="minorEastAsia" w:hAnsiTheme="minorEastAsia" w:eastAsiaTheme="minorEastAsia" w:cstheme="minorEastAsia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单房差</w:t>
            </w:r>
          </w:p>
        </w:tc>
        <w:tc>
          <w:tcPr>
            <w:tcW w:w="901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211" w:firstLineChars="10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840元/床（含1份自助早餐）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20" w:lineRule="exact"/>
              <w:ind w:left="105" w:leftChars="50" w:right="105" w:rightChars="5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 注</w:t>
            </w:r>
          </w:p>
        </w:tc>
        <w:tc>
          <w:tcPr>
            <w:tcW w:w="901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211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报名请提供姓名及身份证号码、电话号码</w:t>
            </w:r>
          </w:p>
        </w:tc>
      </w:tr>
    </w:tbl>
    <w:p>
      <w:pPr>
        <w:numPr>
          <w:ilvl w:val="0"/>
          <w:numId w:val="0"/>
        </w:numPr>
        <w:spacing w:before="78" w:line="219" w:lineRule="auto"/>
        <w:ind w:leftChars="0"/>
        <w:rPr>
          <w:rFonts w:hint="default" w:ascii="黑体" w:hAnsi="黑体" w:eastAsia="黑体" w:cs="黑体"/>
          <w:spacing w:val="-2"/>
          <w:sz w:val="21"/>
          <w:szCs w:val="21"/>
          <w:lang w:val="en-US" w:eastAsia="zh-CN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rPr>
          <w:sz w:val="21"/>
          <w:szCs w:val="21"/>
        </w:rPr>
      </w:pPr>
    </w:p>
    <w:p>
      <w:pPr>
        <w:pStyle w:val="2"/>
      </w:pPr>
    </w:p>
    <w:p>
      <w:pPr>
        <w:pStyle w:val="2"/>
        <w:rPr>
          <w:rFonts w:hint="eastAsia"/>
          <w:lang w:val="en-US" w:eastAsia="zh-CN"/>
        </w:rPr>
      </w:pPr>
    </w:p>
    <w:sectPr>
      <w:headerReference r:id="rId3" w:type="default"/>
      <w:pgSz w:w="11906" w:h="16838"/>
      <w:pgMar w:top="1440" w:right="1800" w:bottom="1440" w:left="86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楷体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1B8D93"/>
    <w:multiLevelType w:val="singleLevel"/>
    <w:tmpl w:val="671B8D9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lZjFmOGYzYWY3MTJjNDRmYjhhODA1OGE0MDZmZDYifQ=="/>
  </w:docVars>
  <w:rsids>
    <w:rsidRoot w:val="EDBA1158"/>
    <w:rsid w:val="0DCA6110"/>
    <w:rsid w:val="10E231DA"/>
    <w:rsid w:val="11683914"/>
    <w:rsid w:val="149338FA"/>
    <w:rsid w:val="2FB24297"/>
    <w:rsid w:val="32E9B314"/>
    <w:rsid w:val="362D50E4"/>
    <w:rsid w:val="36D86294"/>
    <w:rsid w:val="39653E8E"/>
    <w:rsid w:val="3B245435"/>
    <w:rsid w:val="3CDA48A1"/>
    <w:rsid w:val="3FEF9986"/>
    <w:rsid w:val="4612757F"/>
    <w:rsid w:val="46C8667F"/>
    <w:rsid w:val="4B8F03DC"/>
    <w:rsid w:val="4C307A20"/>
    <w:rsid w:val="4F354E68"/>
    <w:rsid w:val="53141E78"/>
    <w:rsid w:val="5ACB3C05"/>
    <w:rsid w:val="5F4A20AB"/>
    <w:rsid w:val="620705B7"/>
    <w:rsid w:val="669039BC"/>
    <w:rsid w:val="6F5155D2"/>
    <w:rsid w:val="7003660A"/>
    <w:rsid w:val="76FBE464"/>
    <w:rsid w:val="7766009F"/>
    <w:rsid w:val="7CB96AB9"/>
    <w:rsid w:val="EB654BC9"/>
    <w:rsid w:val="EDBA1158"/>
    <w:rsid w:val="F6FB8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1"/>
  </w:style>
  <w:style w:type="paragraph" w:styleId="4">
    <w:name w:val="Normal Indent"/>
    <w:basedOn w:val="1"/>
    <w:next w:val="1"/>
    <w:qFormat/>
    <w:uiPriority w:val="0"/>
    <w:pPr>
      <w:ind w:firstLine="420"/>
      <w:jc w:val="left"/>
    </w:pPr>
    <w:rPr>
      <w:rFonts w:ascii="Times New Roman" w:hAnsi="Times New Roman" w:eastAsia="黑体"/>
      <w:szCs w:val="20"/>
    </w:rPr>
  </w:style>
  <w:style w:type="paragraph" w:styleId="5">
    <w:name w:val="Body Text"/>
    <w:basedOn w:val="1"/>
    <w:qFormat/>
    <w:uiPriority w:val="0"/>
    <w:pPr>
      <w:spacing w:after="120"/>
    </w:pPr>
    <w:rPr>
      <w:sz w:val="28"/>
    </w:rPr>
  </w:style>
  <w:style w:type="paragraph" w:styleId="6">
    <w:name w:val="Body Text Indent"/>
    <w:basedOn w:val="1"/>
    <w:next w:val="1"/>
    <w:qFormat/>
    <w:uiPriority w:val="0"/>
    <w:pPr>
      <w:spacing w:line="480" w:lineRule="atLeast"/>
      <w:ind w:firstLine="570"/>
    </w:pPr>
    <w:rPr>
      <w:rFonts w:ascii="黑体" w:eastAsia="黑体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11">
    <w:name w:val="Table Grid"/>
    <w:basedOn w:val="10"/>
    <w:qFormat/>
    <w:uiPriority w:val="0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unhideWhenUsed/>
    <w:qFormat/>
    <w:uiPriority w:val="99"/>
    <w:rPr>
      <w:color w:val="0000FF"/>
      <w:u w:val="single"/>
    </w:rPr>
  </w:style>
  <w:style w:type="paragraph" w:styleId="14">
    <w:name w:val="List Paragraph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1701</Words>
  <Characters>1982</Characters>
  <Lines>0</Lines>
  <Paragraphs>0</Paragraphs>
  <TotalTime>1</TotalTime>
  <ScaleCrop>false</ScaleCrop>
  <LinksUpToDate>false</LinksUpToDate>
  <CharactersWithSpaces>2044</CharactersWithSpaces>
  <Application>WPS Office_11.1.0.11797_F1E327BC-269C-435d-A152-05C5408002CA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2022-03-08T13:12:00Z</dcterms:created>
  <dc:creator>goluaichi</dc:creator>
  <cp:lastModifiedBy>木拿艺</cp:lastModifiedBy>
  <dcterms:modified xsi:type="dcterms:W3CDTF">2022-06-02T14:45:36Z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2052-11.1.0.11797</vt:lpwstr>
  </property>
  <property fmtid="{D5CDD505-2E9C-101B-9397-08002B2CF9AE}" pid="3" name="ICV">
    <vt:lpwstr>E8947400B7BD4DD6AA2D96B7F37E466E</vt:lpwstr>
  </property>
</Properties>
</file>