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 w:val="0"/>
          <w:bCs w:val="0"/>
          <w:color w:val="1764CD"/>
          <w:sz w:val="39"/>
          <w:szCs w:val="39"/>
        </w:rPr>
      </w:pPr>
      <w:r>
        <w:rPr>
          <w:b w:val="0"/>
          <w:bCs w:val="0"/>
          <w:color w:val="000000" w:themeColor="text1"/>
          <w:sz w:val="39"/>
          <w:szCs w:val="39"/>
          <w:shd w:val="clear" w:color="auto" w:fill="FFFFFF"/>
          <w14:textFill>
            <w14:solidFill>
              <w14:schemeClr w14:val="tx1"/>
            </w14:solidFill>
          </w14:textFill>
        </w:rPr>
        <w:t>关于做好2024届本科毕业论文（设计）抽检工作的通知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各二级学院：</w:t>
      </w:r>
    </w:p>
    <w:p>
      <w:pPr>
        <w:pStyle w:val="3"/>
        <w:widowControl/>
        <w:spacing w:beforeAutospacing="0" w:afterAutospacing="0" w:line="560" w:lineRule="exact"/>
        <w:ind w:firstLine="555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为贯彻落实教育部《本科毕业论文（设计）抽检办法（试行）》（教督〔2020〕5 号）和《浙江省教育厅关于印发&lt;浙江省本科毕业论文（设计）抽检实施细则（试行）&gt;的通知》（浙教高教〔2023〕5 号）文件精神，为规范和加强我校本科毕业设计（论文）全过程管理，提高本科毕业论文（设计）质量，严把毕业“出口关”，实现0问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题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论文，学校将开展</w:t>
      </w:r>
      <w:bookmarkStart w:id="0" w:name="_Hlk138018016"/>
      <w:bookmarkEnd w:id="0"/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2024届本科毕业论文（设计）校内抽检工作，现将工作安排通知如下：</w:t>
      </w:r>
    </w:p>
    <w:p>
      <w:pPr>
        <w:pStyle w:val="3"/>
        <w:widowControl/>
        <w:spacing w:beforeAutospacing="0" w:afterAutospacing="0" w:line="560" w:lineRule="exact"/>
        <w:ind w:firstLine="555"/>
        <w:rPr>
          <w:rFonts w:ascii="仿宋" w:hAnsi="仿宋" w:eastAsia="仿宋" w:cs="仿宋"/>
          <w:color w:val="auto"/>
          <w:sz w:val="30"/>
          <w:szCs w:val="30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0"/>
          <w:szCs w:val="30"/>
          <w:shd w:val="clear" w:color="auto" w:fill="FFFFFF"/>
        </w:rPr>
        <w:t>一、抽检范围</w:t>
      </w:r>
    </w:p>
    <w:p>
      <w:pPr>
        <w:pStyle w:val="3"/>
        <w:widowControl/>
        <w:spacing w:beforeAutospacing="0" w:afterAutospacing="0"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本次抽检范围为2024届（2023年9月1日-2024年8月31日）所有进入毕业环节申请授予学士学位的本科生的本科毕业论文（设计）。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0"/>
          <w:szCs w:val="30"/>
          <w:shd w:val="clear" w:color="auto" w:fill="FFFFFF"/>
        </w:rPr>
        <w:t>二、检查重点</w:t>
      </w:r>
    </w:p>
    <w:p>
      <w:pPr>
        <w:pStyle w:val="3"/>
        <w:widowControl/>
        <w:spacing w:beforeAutospacing="0" w:afterAutospacing="0"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检查重点对选题质量、学术水平与实际动手能力、综合应用基本理论与基本技能能力、文字表述与图表质量、规范要求等进行评议。</w:t>
      </w:r>
    </w:p>
    <w:p>
      <w:pPr>
        <w:pStyle w:val="3"/>
        <w:widowControl/>
        <w:spacing w:beforeAutospacing="0" w:afterAutospacing="0" w:line="560" w:lineRule="exact"/>
        <w:ind w:firstLine="555"/>
        <w:rPr>
          <w:rFonts w:ascii="仿宋" w:hAnsi="仿宋" w:eastAsia="仿宋" w:cs="仿宋"/>
          <w:color w:val="auto"/>
          <w:sz w:val="30"/>
          <w:szCs w:val="30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0"/>
          <w:szCs w:val="30"/>
          <w:shd w:val="clear" w:color="auto" w:fill="FFFFFF"/>
        </w:rPr>
        <w:t>三、工作程序</w:t>
      </w:r>
    </w:p>
    <w:p>
      <w:pPr>
        <w:pStyle w:val="3"/>
        <w:widowControl/>
        <w:spacing w:beforeAutospacing="0" w:afterAutospacing="0" w:line="560" w:lineRule="exact"/>
        <w:ind w:firstLine="55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抽检工作包括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名单抽取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、信息报送、学校组织专家评审、反馈整改等程序。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（一）名单抽取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学校根据进入本毕业学年度毕业环节学生信息，按各专业人数4%的比例且每个专业至少抽取一篇；对于篇幅较短、重复率较高的毕业论文进行重点抽检；对专升本学生、留学生按8%比例抽检；对去年抽检出不合格论文的专业按12%比例抽检，经随机抽取生成2024届毕业论文（设计）抽检名单，教务处将于规定的毕业设计（论文）提交论文管理系统截止日期后1周内（2024年4月20日左右），向学院公布随机抽查的论文名单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（二）信息报送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被抽中评审的论文，各学院应于4月26日17:00前将抽检名单中的论文电子版提交给教务处。论文文件名以“学院名称_专业名称_学号_姓名_课题名称”命名。其中论文封面、摘要、正文中不要出现学生学院、专业、姓名、学号和指导教师等相关信息；致谢环节不要出现在评审论文中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（三）学校组织专家评审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学校按照随机匹配方式组织同行专家对抽检论文（设计）进行评议，专家根据评议要素提出评议意见。每篇论文（设计）分送1-2位同行专家评议。评议专家按“合格”和“不合格”两档评定并提出评议意见，对评议为“不合格”的毕业论文须明确指出存在的问题。2位专家中有1位及以上专家评议意见为“不合格”的毕业论文（设计），将认定为“存在问题毕业论文（设计）”。“存在问题毕业论文（设计）”认定前，允许有关学院提交补充材料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（四）反馈整改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教务处将评审结论返回各学院，学院根据评审结论安排后续答辩及整改工作，并将整改情况及时上报。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评定为“合格”的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bidi="ar"/>
        </w:rPr>
        <w:t>毕业论文（设计）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，抽检通过，可以提交；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bidi="ar"/>
        </w:rPr>
        <w:t>评定为“存在问题”的毕业论文（设计），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学生需认真对论文进行整改，指导老师重审，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学院重新组织答辩，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学院教学指导委员会审核合格为止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修订和答辩流程材料交教务处审核。</w:t>
      </w:r>
    </w:p>
    <w:p>
      <w:pPr>
        <w:pStyle w:val="3"/>
        <w:widowControl/>
        <w:spacing w:beforeAutospacing="0" w:afterAutospacing="0" w:line="560" w:lineRule="exact"/>
        <w:ind w:firstLine="555"/>
        <w:rPr>
          <w:rStyle w:val="6"/>
          <w:rFonts w:ascii="仿宋" w:hAnsi="仿宋" w:eastAsia="仿宋" w:cs="仿宋"/>
          <w:bCs/>
          <w:color w:val="auto"/>
          <w:sz w:val="30"/>
          <w:szCs w:val="30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0"/>
          <w:szCs w:val="30"/>
          <w:shd w:val="clear" w:color="auto" w:fill="FFFFFF"/>
        </w:rPr>
        <w:t>四、工作要求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 加强校级毕业论文质量保障工作。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各学院要高度重视毕业设计（论文）质量工作，结合期中教学检查工作，建立本科生毕业设计（论文）答辩前自查制度，要求100%全覆盖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2.教学督导对有关部门、学院和个人的人才培养责任落实情况进行核实，并依据《杭州师范大学本科毕业论文（设计）工作管理办法》和《杭州师范大学教学事故认定及处理规定》予以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认定和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处理，加强本科毕业论文质量保障与整改工作。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3.加强学术道德教育。按照《高等学校预防与处理学术不端行为办法》，论文在选题、结构、内容、语言表达等方面存在抄袭，即可认为存在学术不端行为。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进入毕业论文撰写阶段的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学生需提交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学校指定的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论文检测系统出具的完整版电子检测报告（非首页简明版）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。对于全篇或单章节重复率超过15%的论文，须由教学院长签字确认是否存在学术不端行为。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4.对于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嫌学术不端论文，按照《高等学校预防与处理学术不端行为办法》，由学生和指导教师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提出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申诉，学院收到申诉意见后由学院教学指导委员会出具意见并提交教务处，由教务处组织调查组确定最终意见。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经教务处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确认存在学术不端行为的，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取消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该学生的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毕业论文成绩并提交校学位委员会讨论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按《杭州师范大学本科学生学籍管理规定》，“对以作弊、剽窃、抄袭等学术不端行为或者其他不正当手段获得学历证书、学位证书的，学校依法予以撤销。被撤销的学历证书、学位证书已注册的，学校予以注销并报教育行政部门宣布证书无效”。相关处理结果报省教育厅和省学位委员会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存在问题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1篇存在问题论文，由教务处约谈学院相关领导，学院组织复核该专业所有毕业论文，复核方案和复核材料交教务处审核；学院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2篇以上存在问题论文，由校领导约谈学院主要领导，学院组织复核学院全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毕业论文，复核方案和复核材料交教务处审核，报校领导审批。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6.国家抽检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存在问题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的专业，减少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当年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招生人数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.逾期未按要求提交评审材料的学生以论文评审“不合格”认定；</w:t>
      </w:r>
    </w:p>
    <w:p>
      <w:pPr>
        <w:pStyle w:val="3"/>
        <w:widowControl/>
        <w:spacing w:beforeAutospacing="0" w:afterAutospacing="0" w:line="560" w:lineRule="exact"/>
        <w:ind w:firstLine="555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.教务处联系人：柳老师；联系电话：28868502。</w:t>
      </w:r>
    </w:p>
    <w:p>
      <w:pPr>
        <w:pStyle w:val="3"/>
        <w:widowControl/>
        <w:spacing w:beforeAutospacing="0" w:afterAutospacing="0" w:line="560" w:lineRule="exact"/>
        <w:jc w:val="righ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 xml:space="preserve"> </w:t>
      </w:r>
    </w:p>
    <w:p>
      <w:pPr>
        <w:pStyle w:val="3"/>
        <w:widowControl/>
        <w:spacing w:beforeAutospacing="0" w:afterAutospacing="0" w:line="560" w:lineRule="exact"/>
        <w:jc w:val="righ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教务处</w:t>
      </w:r>
    </w:p>
    <w:p>
      <w:pPr>
        <w:pStyle w:val="3"/>
        <w:widowControl/>
        <w:spacing w:beforeAutospacing="0" w:afterAutospacing="0" w:line="560" w:lineRule="exact"/>
        <w:jc w:val="righ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                                      2024年3月22日</w:t>
      </w:r>
    </w:p>
    <w:p>
      <w:pPr>
        <w:pStyle w:val="3"/>
        <w:widowControl/>
        <w:spacing w:beforeAutospacing="0" w:afterAutospacing="0" w:line="312" w:lineRule="atLeast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pStyle w:val="3"/>
        <w:widowControl/>
        <w:spacing w:beforeAutospacing="0" w:afterAutospacing="0" w:line="312" w:lineRule="atLeast"/>
        <w:jc w:val="righ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lhMDZiNzdiMmI4NGU5NDk5ODg1YzY0ZTk3ZGMifQ=="/>
  </w:docVars>
  <w:rsids>
    <w:rsidRoot w:val="74B17EC3"/>
    <w:rsid w:val="001E71DF"/>
    <w:rsid w:val="009909FA"/>
    <w:rsid w:val="09CD792F"/>
    <w:rsid w:val="0FA425D2"/>
    <w:rsid w:val="11006AB8"/>
    <w:rsid w:val="12153BA3"/>
    <w:rsid w:val="193470C2"/>
    <w:rsid w:val="29B11D74"/>
    <w:rsid w:val="5D9F22EF"/>
    <w:rsid w:val="658C11B3"/>
    <w:rsid w:val="66621E26"/>
    <w:rsid w:val="74B17EC3"/>
    <w:rsid w:val="7E5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1103</Characters>
  <Lines>9</Lines>
  <Paragraphs>2</Paragraphs>
  <TotalTime>1</TotalTime>
  <ScaleCrop>false</ScaleCrop>
  <LinksUpToDate>false</LinksUpToDate>
  <CharactersWithSpaces>1294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2024-01-05T02:07:00Z</dcterms:created>
  <dc:creator>aurora</dc:creator>
  <cp:lastModifiedBy>aurora</cp:lastModifiedBy>
  <dcterms:modified xsi:type="dcterms:W3CDTF">2024-03-22T07:40:40Z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DD1A34EDAC1D437A821AE0B78E3165C7_13</vt:lpwstr>
  </property>
</Properties>
</file>