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480" w:after="240" w:line="510" w:lineRule="atLeast"/>
        <w:jc w:val="left"/>
        <w:outlineLvl w:val="0"/>
        <w:rPr>
          <w:rFonts w:ascii="Segoe UI" w:hAnsi="Segoe UI" w:eastAsia="宋体" w:cs="Segoe UI"/>
          <w:b/>
          <w:bCs/>
          <w:color w:val="auto"/>
          <w:kern w:val="36"/>
          <w:sz w:val="36"/>
          <w:szCs w:val="36"/>
        </w:rPr>
      </w:pPr>
      <w:r>
        <w:rPr>
          <w:rFonts w:hint="eastAsia" w:ascii="Segoe UI" w:hAnsi="Segoe UI" w:eastAsia="宋体" w:cs="Segoe UI"/>
          <w:b/>
          <w:bCs/>
          <w:color w:val="auto"/>
          <w:kern w:val="36"/>
          <w:sz w:val="36"/>
          <w:szCs w:val="36"/>
        </w:rPr>
        <w:t>生命与环境科学</w:t>
      </w:r>
      <w:r>
        <w:rPr>
          <w:rFonts w:ascii="Segoe UI" w:hAnsi="Segoe UI" w:eastAsia="宋体" w:cs="Segoe UI"/>
          <w:b/>
          <w:bCs/>
          <w:color w:val="auto"/>
          <w:kern w:val="36"/>
          <w:sz w:val="36"/>
          <w:szCs w:val="36"/>
        </w:rPr>
        <w:t>学院</w:t>
      </w:r>
      <w:bookmarkStart w:id="0" w:name="OLE_LINK1"/>
      <w:r>
        <w:rPr>
          <w:rFonts w:ascii="Segoe UI" w:hAnsi="Segoe UI" w:eastAsia="宋体" w:cs="Segoe UI"/>
          <w:b/>
          <w:bCs/>
          <w:color w:val="auto"/>
          <w:kern w:val="36"/>
          <w:sz w:val="36"/>
          <w:szCs w:val="36"/>
        </w:rPr>
        <w:t>本科“优课优酬”</w:t>
      </w:r>
      <w:bookmarkEnd w:id="0"/>
      <w:r>
        <w:rPr>
          <w:rFonts w:ascii="Segoe UI" w:hAnsi="Segoe UI" w:eastAsia="宋体" w:cs="Segoe UI"/>
          <w:b/>
          <w:bCs/>
          <w:color w:val="auto"/>
          <w:kern w:val="36"/>
          <w:sz w:val="36"/>
          <w:szCs w:val="36"/>
        </w:rPr>
        <w:t>奖励</w:t>
      </w:r>
      <w:r>
        <w:rPr>
          <w:rFonts w:hint="eastAsia" w:ascii="Segoe UI" w:hAnsi="Segoe UI" w:eastAsia="宋体" w:cs="Segoe UI"/>
          <w:b/>
          <w:bCs/>
          <w:color w:val="auto"/>
          <w:kern w:val="36"/>
          <w:sz w:val="36"/>
          <w:szCs w:val="36"/>
        </w:rPr>
        <w:t>实施办法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bookmarkStart w:id="1" w:name="_Hlk215476892"/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为贯彻落实学校《本科“优课优酬”奖励实施办法（试行）》精神，进一步提升本科教学质量，激励教师投身教学改革与课程建设，结合本院实际，特制定本细则。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2" w:firstLineChars="200"/>
        <w:jc w:val="left"/>
        <w:rPr>
          <w:rFonts w:ascii="仿宋_GB2312" w:hAnsi="宋体" w:eastAsia="仿宋_GB2312" w:cs="仿宋"/>
          <w:b/>
          <w:bCs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b/>
          <w:bCs/>
          <w:color w:val="auto"/>
          <w:kern w:val="0"/>
          <w:sz w:val="30"/>
          <w:szCs w:val="30"/>
        </w:rPr>
        <w:t>一、遴选范围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本院承担全日制本科生课程（不含国家学生体质健康标准测试、军事训练、专业实践课程和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Ⅱ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类学分）的专任教师。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二、申报条件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（一）基本条件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1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.教师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为本院专任教师，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师德高尚，积极承担本科生教学任务；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2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.主讲教师当学期主讲1门及以上本科生课程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，</w:t>
      </w:r>
      <w:r>
        <w:rPr>
          <w:rFonts w:ascii="仿宋_GB2312" w:hAnsi="宋体" w:eastAsia="仿宋_GB2312" w:cs="仿宋"/>
          <w:color w:val="auto"/>
          <w:sz w:val="30"/>
          <w:szCs w:val="30"/>
        </w:rPr>
        <w:t>多人合上课程限主讲教师或课程团队负责人1人申报</w:t>
      </w:r>
      <w:r>
        <w:rPr>
          <w:rFonts w:hint="eastAsia" w:ascii="仿宋_GB2312" w:hAnsi="宋体" w:eastAsia="仿宋_GB2312" w:cs="仿宋"/>
          <w:color w:val="auto"/>
          <w:sz w:val="30"/>
          <w:szCs w:val="30"/>
        </w:rPr>
        <w:t>；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sz w:val="30"/>
          <w:szCs w:val="30"/>
        </w:rPr>
        <w:t>3.</w:t>
      </w:r>
      <w:r>
        <w:rPr>
          <w:rFonts w:hint="eastAsia" w:ascii="仿宋_GB2312" w:hAnsi="宋体" w:eastAsia="仿宋_GB2312" w:cs="仿宋"/>
          <w:color w:val="auto"/>
          <w:sz w:val="30"/>
          <w:szCs w:val="30"/>
        </w:rPr>
        <w:t>近3年内至少主持或参与1项院级及以上本科教学建设改革项目（以立项时间为准，排名前三）；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4.</w:t>
      </w:r>
      <w:r>
        <w:rPr>
          <w:rFonts w:hint="eastAsia" w:ascii="仿宋_GB2312" w:hAnsi="宋体" w:eastAsia="仿宋_GB2312" w:cs="仿宋"/>
          <w:color w:val="auto"/>
          <w:sz w:val="30"/>
          <w:szCs w:val="30"/>
        </w:rPr>
        <w:t>评选学期的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学生评教成绩位于本单位</w:t>
      </w:r>
      <w:r>
        <w:rPr>
          <w:rFonts w:hint="eastAsia" w:ascii="仿宋_GB2312" w:hAnsi="宋体" w:eastAsia="仿宋_GB2312" w:cs="仿宋"/>
          <w:color w:val="auto"/>
          <w:sz w:val="30"/>
          <w:szCs w:val="30"/>
        </w:rPr>
        <w:t>排名前</w:t>
      </w:r>
      <w:r>
        <w:rPr>
          <w:rFonts w:ascii="仿宋_GB2312" w:hAnsi="宋体" w:eastAsia="仿宋_GB2312" w:cs="仿宋"/>
          <w:color w:val="auto"/>
          <w:sz w:val="30"/>
          <w:szCs w:val="30"/>
        </w:rPr>
        <w:t>7</w:t>
      </w:r>
      <w:r>
        <w:rPr>
          <w:rFonts w:hint="eastAsia" w:ascii="仿宋_GB2312" w:hAnsi="宋体" w:eastAsia="仿宋_GB2312" w:cs="仿宋"/>
          <w:color w:val="auto"/>
          <w:sz w:val="30"/>
          <w:szCs w:val="30"/>
        </w:rPr>
        <w:t>0%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；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5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.每学期每位教师申报“优课优酬”课程限1门次，且申报课程课时不超过48自然课时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。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（二）教学文档要求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课程教学文档齐全完备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并按时归档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，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教学文档包含教学大纲、教学进度表、课件、教师教学工作记录本、作业及试卷（或实验报告）批改情况、课程目标达成情况分析等；</w:t>
      </w:r>
    </w:p>
    <w:p>
      <w:pPr>
        <w:pStyle w:val="7"/>
        <w:spacing w:line="560" w:lineRule="exact"/>
        <w:ind w:firstLine="600" w:firstLineChars="200"/>
        <w:jc w:val="both"/>
        <w:rPr>
          <w:rFonts w:ascii="仿宋_GB2312" w:hAnsi="宋体" w:eastAsia="仿宋_GB2312" w:cs="仿宋"/>
          <w:color w:val="auto"/>
          <w:sz w:val="30"/>
          <w:szCs w:val="30"/>
        </w:rPr>
      </w:pPr>
      <w:r>
        <w:rPr>
          <w:rFonts w:ascii="仿宋_GB2312" w:hAnsi="宋体" w:eastAsia="仿宋_GB2312" w:cs="仿宋"/>
          <w:color w:val="auto"/>
          <w:sz w:val="30"/>
          <w:szCs w:val="30"/>
        </w:rPr>
        <w:t>（三）</w:t>
      </w:r>
      <w:r>
        <w:rPr>
          <w:rFonts w:hint="eastAsia" w:ascii="仿宋_GB2312" w:hAnsi="宋体" w:eastAsia="仿宋_GB2312" w:cs="仿宋"/>
          <w:color w:val="auto"/>
          <w:sz w:val="30"/>
          <w:szCs w:val="30"/>
        </w:rPr>
        <w:t>授课教师有下列情况之一的，不能申报“优课优酬”奖励：</w:t>
      </w:r>
    </w:p>
    <w:p>
      <w:pPr>
        <w:pStyle w:val="7"/>
        <w:spacing w:line="560" w:lineRule="exact"/>
        <w:ind w:firstLine="600" w:firstLineChars="200"/>
        <w:jc w:val="both"/>
        <w:rPr>
          <w:rFonts w:ascii="仿宋_GB2312" w:hAnsi="宋体" w:eastAsia="仿宋_GB2312" w:cs="仿宋"/>
          <w:color w:val="auto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sz w:val="30"/>
          <w:szCs w:val="30"/>
        </w:rPr>
        <w:t>1.有违反师德师风行为的；</w:t>
      </w:r>
    </w:p>
    <w:p>
      <w:pPr>
        <w:pStyle w:val="7"/>
        <w:spacing w:line="560" w:lineRule="exact"/>
        <w:ind w:firstLine="600" w:firstLineChars="200"/>
        <w:jc w:val="both"/>
        <w:rPr>
          <w:rFonts w:ascii="仿宋_GB2312" w:hAnsi="宋体" w:eastAsia="仿宋_GB2312" w:cs="仿宋"/>
          <w:color w:val="auto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sz w:val="30"/>
          <w:szCs w:val="30"/>
        </w:rPr>
        <w:t>2.存在学术不端行为的；</w:t>
      </w:r>
    </w:p>
    <w:p>
      <w:pPr>
        <w:pStyle w:val="7"/>
        <w:spacing w:line="560" w:lineRule="exact"/>
        <w:ind w:firstLine="600" w:firstLineChars="200"/>
        <w:jc w:val="both"/>
        <w:rPr>
          <w:rFonts w:ascii="仿宋_GB2312" w:hAnsi="宋体" w:eastAsia="仿宋_GB2312" w:cs="仿宋"/>
          <w:color w:val="auto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sz w:val="30"/>
          <w:szCs w:val="30"/>
        </w:rPr>
        <w:t>3.违反校规校纪，受到通报批评及以上处分的；</w:t>
      </w:r>
    </w:p>
    <w:p>
      <w:pPr>
        <w:pStyle w:val="7"/>
        <w:spacing w:line="560" w:lineRule="exact"/>
        <w:ind w:firstLine="600" w:firstLineChars="200"/>
        <w:jc w:val="both"/>
        <w:rPr>
          <w:rFonts w:ascii="仿宋_GB2312" w:hAnsi="宋体" w:eastAsia="仿宋_GB2312" w:cs="仿宋"/>
          <w:color w:val="auto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sz w:val="30"/>
          <w:szCs w:val="30"/>
        </w:rPr>
        <w:t>4.发生教学事故的；</w:t>
      </w:r>
    </w:p>
    <w:p>
      <w:pPr>
        <w:pStyle w:val="7"/>
        <w:spacing w:line="560" w:lineRule="exact"/>
        <w:ind w:firstLine="600" w:firstLineChars="200"/>
        <w:jc w:val="both"/>
        <w:rPr>
          <w:rFonts w:ascii="仿宋_GB2312" w:hAnsi="宋体" w:eastAsia="仿宋_GB2312" w:cs="仿宋"/>
          <w:color w:val="auto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sz w:val="30"/>
          <w:szCs w:val="30"/>
        </w:rPr>
        <w:t>5.指导的本科毕业设计（论文）抽检“不合格”的；</w:t>
      </w:r>
    </w:p>
    <w:p>
      <w:pPr>
        <w:pStyle w:val="7"/>
        <w:spacing w:line="560" w:lineRule="exact"/>
        <w:ind w:firstLine="600" w:firstLineChars="200"/>
        <w:jc w:val="both"/>
        <w:rPr>
          <w:rFonts w:ascii="仿宋_GB2312" w:hAnsi="宋体" w:eastAsia="仿宋_GB2312" w:cs="仿宋"/>
          <w:color w:val="auto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sz w:val="30"/>
          <w:szCs w:val="30"/>
        </w:rPr>
        <w:t>6.在各类教学检查中，被发现教学中存在问题的；</w:t>
      </w:r>
    </w:p>
    <w:p>
      <w:pPr>
        <w:pStyle w:val="7"/>
        <w:spacing w:line="560" w:lineRule="exact"/>
        <w:ind w:firstLine="600" w:firstLineChars="200"/>
        <w:jc w:val="both"/>
        <w:rPr>
          <w:rFonts w:ascii="仿宋_GB2312" w:hAnsi="宋体" w:eastAsia="仿宋_GB2312" w:cs="仿宋"/>
          <w:color w:val="auto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sz w:val="30"/>
          <w:szCs w:val="30"/>
        </w:rPr>
        <w:t>7.其他与“优课优酬”导向不符的情况。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三、遴选程序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（一）个人申报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教师根据课程教学情况填写《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生命与环境科学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学院“优课优酬”申报表》，并提交相关教学档案材料。每位教师每学期限报1门课程，且不超过48自然课时。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（二）学院遴选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学院成立</w:t>
      </w:r>
      <w:bookmarkStart w:id="2" w:name="OLE_LINK2"/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“优课优酬”奖励遴选工作小组</w:t>
      </w:r>
      <w:bookmarkEnd w:id="2"/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，依据本细则开展遴选工作，遴选名额不超过本学院当学期所开课程门次总数的30%。遴选应坚持公平、公正、公开原则。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（三）公示与上报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拟推荐名单经学院党政联席会议审议并公示无异议后，报教务处备案。</w:t>
      </w:r>
    </w:p>
    <w:bookmarkEnd w:id="1"/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四、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实施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办法</w:t>
      </w:r>
    </w:p>
    <w:p>
      <w:pPr>
        <w:spacing w:line="480" w:lineRule="exact"/>
        <w:ind w:firstLine="600" w:firstLineChars="200"/>
        <w:rPr>
          <w:rFonts w:ascii="仿宋_GB2312" w:hAnsi="宋体" w:eastAsia="仿宋_GB2312" w:cs="仿宋"/>
          <w:color w:val="auto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对于获得本科“优课优酬”奖励的教师，核发奖励性课酬。“院级优课”奖励由学院在下拨经费内核发，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按学校文件精神，</w:t>
      </w:r>
      <w:bookmarkStart w:id="3" w:name="_GoBack"/>
      <w:bookmarkEnd w:id="3"/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鼓励优课优酬，所有优课绩效在正常结算的情况下，再分级结算，院级优课暂定额外新增10元/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自然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课时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。“优课优酬”奖励实行同一课程门次奖励就高计算。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五、附则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本细则自公布之日起实施，由“优课优酬”奖励遴选工作小组负责解释；未尽事宜，参照学校《本科“优课优酬”奖励实施办法（试行）》执行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，试行一年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。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righ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生命与环境科学学院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righ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2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025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年1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2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月</w:t>
      </w:r>
      <w:r>
        <w:rPr>
          <w:rFonts w:ascii="仿宋_GB2312" w:hAnsi="宋体" w:eastAsia="仿宋_GB2312" w:cs="仿宋"/>
          <w:color w:val="auto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仿宋"/>
          <w:color w:val="auto"/>
          <w:kern w:val="0"/>
          <w:sz w:val="30"/>
          <w:szCs w:val="30"/>
        </w:rPr>
        <w:t>日</w:t>
      </w: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480" w:lineRule="exact"/>
        <w:ind w:firstLine="600" w:firstLineChars="200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p>
      <w:pPr>
        <w:pStyle w:val="7"/>
        <w:widowControl/>
        <w:shd w:val="clear" w:color="auto" w:fill="FFFFFF"/>
        <w:spacing w:line="560" w:lineRule="exact"/>
        <w:jc w:val="both"/>
        <w:rPr>
          <w:rStyle w:val="10"/>
          <w:rFonts w:ascii="宋体" w:hAnsi="宋体" w:cs="宋体"/>
          <w:color w:val="auto"/>
          <w:spacing w:val="5"/>
          <w:szCs w:val="21"/>
          <w:shd w:val="clear" w:color="auto" w:fill="FFFFFF"/>
        </w:rPr>
      </w:pPr>
    </w:p>
    <w:p>
      <w:pPr>
        <w:widowControl/>
        <w:autoSpaceDE w:val="0"/>
        <w:autoSpaceDN w:val="0"/>
        <w:adjustRightInd w:val="0"/>
        <w:spacing w:line="480" w:lineRule="exact"/>
        <w:jc w:val="left"/>
        <w:rPr>
          <w:rFonts w:ascii="仿宋_GB2312" w:hAnsi="宋体" w:eastAsia="仿宋_GB2312" w:cs="仿宋"/>
          <w:color w:val="auto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1D"/>
    <w:rsid w:val="00011378"/>
    <w:rsid w:val="00063E0F"/>
    <w:rsid w:val="000E3C22"/>
    <w:rsid w:val="000F4FBE"/>
    <w:rsid w:val="002218C5"/>
    <w:rsid w:val="002A04AE"/>
    <w:rsid w:val="00420E28"/>
    <w:rsid w:val="005361D2"/>
    <w:rsid w:val="005512C3"/>
    <w:rsid w:val="00572147"/>
    <w:rsid w:val="006A4645"/>
    <w:rsid w:val="006B2892"/>
    <w:rsid w:val="0076340F"/>
    <w:rsid w:val="008320A7"/>
    <w:rsid w:val="00852688"/>
    <w:rsid w:val="00915165"/>
    <w:rsid w:val="00BE1C1D"/>
    <w:rsid w:val="00BF071C"/>
    <w:rsid w:val="00C509C5"/>
    <w:rsid w:val="00C71000"/>
    <w:rsid w:val="00C96BBE"/>
    <w:rsid w:val="00D36BD6"/>
    <w:rsid w:val="00DE7299"/>
    <w:rsid w:val="00F366E4"/>
    <w:rsid w:val="00F61B5B"/>
    <w:rsid w:val="00FE51E6"/>
    <w:rsid w:val="4FCFE580"/>
    <w:rsid w:val="7F36612A"/>
    <w:rsid w:val="F7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basedOn w:val="9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3 字符"/>
    <w:basedOn w:val="9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6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911</Characters>
  <Lines>7</Lines>
  <Paragraphs>2</Paragraphs>
  <TotalTime>437</TotalTime>
  <ScaleCrop>false</ScaleCrop>
  <LinksUpToDate>false</LinksUpToDate>
  <CharactersWithSpaces>1068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2025-11-29T01:05:00Z</dcterms:created>
  <dc:creator>Lenovo</dc:creator>
  <cp:lastModifiedBy>潇月</cp:lastModifiedBy>
  <cp:lastPrinted>2025-12-01T09:02:00Z</cp:lastPrinted>
  <dcterms:modified xsi:type="dcterms:W3CDTF">2025-12-01T16:49:32Z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31DFA1AB025D05A29C562D69B2A37624_42</vt:lpwstr>
  </property>
</Properties>
</file>